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heme="minorEastAsia" w:hAnsiTheme="minorEastAsia" w:eastAsiaTheme="minorEastAsia"/>
          <w:b/>
          <w:sz w:val="28"/>
          <w:szCs w:val="28"/>
        </w:rPr>
      </w:pPr>
      <w:bookmarkStart w:id="0" w:name="_Hlk169877151"/>
      <w:bookmarkEnd w:id="0"/>
      <w:r>
        <w:rPr>
          <w:rFonts w:hint="eastAsia" w:asciiTheme="minorEastAsia" w:hAnsiTheme="minorEastAsia" w:eastAsiaTheme="minorEastAsia"/>
          <w:b/>
          <w:sz w:val="28"/>
        </w:rPr>
        <w:t>申请编号：</w:t>
      </w:r>
    </w:p>
    <w:p>
      <w:pPr>
        <w:spacing w:line="600" w:lineRule="exact"/>
        <w:ind w:firstLine="442" w:firstLineChars="100"/>
        <w:jc w:val="center"/>
        <w:rPr>
          <w:rFonts w:asciiTheme="minorEastAsia" w:hAnsiTheme="minorEastAsia" w:eastAsiaTheme="minorEastAsia"/>
          <w:b/>
          <w:sz w:val="44"/>
          <w:szCs w:val="44"/>
        </w:rPr>
      </w:pPr>
    </w:p>
    <w:p>
      <w:pPr>
        <w:spacing w:line="600" w:lineRule="exact"/>
        <w:ind w:firstLine="400" w:firstLineChars="100"/>
        <w:jc w:val="center"/>
        <w:rPr>
          <w:rFonts w:asciiTheme="minorEastAsia" w:hAnsiTheme="minorEastAsia" w:eastAsiaTheme="minorEastAsia"/>
          <w:kern w:val="0"/>
          <w:sz w:val="40"/>
          <w:szCs w:val="40"/>
        </w:rPr>
      </w:pPr>
      <w:r>
        <w:rPr>
          <w:rFonts w:hint="eastAsia" w:asciiTheme="minorEastAsia" w:hAnsiTheme="minorEastAsia" w:eastAsiaTheme="minorEastAsia"/>
          <w:kern w:val="0"/>
          <w:sz w:val="40"/>
          <w:szCs w:val="40"/>
        </w:rPr>
        <w:t>浙江省研究生教育学会</w:t>
      </w:r>
    </w:p>
    <w:p>
      <w:pPr>
        <w:spacing w:line="600" w:lineRule="exact"/>
        <w:ind w:firstLine="290" w:firstLineChars="100"/>
        <w:jc w:val="center"/>
        <w:rPr>
          <w:rFonts w:asciiTheme="minorEastAsia" w:hAnsiTheme="minorEastAsia" w:eastAsiaTheme="minorEastAsia"/>
          <w:sz w:val="29"/>
          <w:szCs w:val="29"/>
        </w:rPr>
      </w:pPr>
    </w:p>
    <w:p>
      <w:pPr>
        <w:spacing w:line="600" w:lineRule="exact"/>
        <w:ind w:firstLine="520" w:firstLineChars="100"/>
        <w:jc w:val="center"/>
        <w:rPr>
          <w:rFonts w:hint="default" w:asciiTheme="minorEastAsia" w:hAnsiTheme="minorEastAsia" w:eastAsiaTheme="minorEastAsia"/>
          <w:kern w:val="0"/>
          <w:sz w:val="52"/>
          <w:szCs w:val="52"/>
          <w:lang w:val="en-US" w:eastAsia="zh-CN"/>
        </w:rPr>
      </w:pPr>
      <w:r>
        <w:rPr>
          <w:rFonts w:hint="eastAsia" w:asciiTheme="minorEastAsia" w:hAnsiTheme="minorEastAsia" w:eastAsiaTheme="minorEastAsia"/>
          <w:kern w:val="0"/>
          <w:sz w:val="52"/>
          <w:szCs w:val="52"/>
        </w:rPr>
        <w:t>教育成果奖</w:t>
      </w:r>
      <w:r>
        <w:rPr>
          <w:rFonts w:hint="eastAsia" w:asciiTheme="minorEastAsia" w:hAnsiTheme="minorEastAsia" w:eastAsiaTheme="minorEastAsia"/>
          <w:kern w:val="0"/>
          <w:sz w:val="52"/>
          <w:szCs w:val="52"/>
          <w:lang w:val="en-US" w:eastAsia="zh-CN"/>
        </w:rPr>
        <w:t>-成果报告</w:t>
      </w:r>
    </w:p>
    <w:p>
      <w:pPr>
        <w:spacing w:line="600" w:lineRule="exact"/>
        <w:jc w:val="center"/>
        <w:rPr>
          <w:rFonts w:asciiTheme="minorEastAsia" w:hAnsiTheme="minorEastAsia" w:eastAsiaTheme="minorEastAsia"/>
          <w:kern w:val="0"/>
          <w:sz w:val="40"/>
          <w:szCs w:val="40"/>
        </w:rPr>
      </w:pPr>
    </w:p>
    <w:p>
      <w:pPr>
        <w:spacing w:line="600" w:lineRule="exact"/>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□教育研究类</w:t>
      </w:r>
      <w:bookmarkStart w:id="1" w:name="_GoBack"/>
      <w:bookmarkEnd w:id="1"/>
    </w:p>
    <w:p>
      <w:pPr>
        <w:spacing w:line="600" w:lineRule="exact"/>
        <w:jc w:val="center"/>
        <w:rPr>
          <w:rFonts w:asciiTheme="minorEastAsia" w:hAnsiTheme="minorEastAsia" w:eastAsiaTheme="minorEastAsia"/>
          <w:kern w:val="0"/>
          <w:sz w:val="40"/>
          <w:szCs w:val="40"/>
        </w:rPr>
      </w:pPr>
      <w:r>
        <w:rPr>
          <w:rFonts w:hint="eastAsia" w:asciiTheme="minorEastAsia" w:hAnsiTheme="minorEastAsia" w:eastAsiaTheme="minorEastAsia"/>
          <w:kern w:val="0"/>
          <w:sz w:val="30"/>
          <w:szCs w:val="30"/>
        </w:rPr>
        <w:t>√教育实践类</w:t>
      </w:r>
    </w:p>
    <w:p>
      <w:pPr>
        <w:spacing w:line="600" w:lineRule="exact"/>
        <w:ind w:firstLine="3072" w:firstLineChars="850"/>
        <w:rPr>
          <w:rFonts w:asciiTheme="minorEastAsia" w:hAnsiTheme="minorEastAsia" w:eastAsiaTheme="minorEastAsia"/>
          <w:b/>
          <w:sz w:val="36"/>
          <w:szCs w:val="36"/>
        </w:rPr>
      </w:pPr>
    </w:p>
    <w:p>
      <w:pPr>
        <w:spacing w:line="800" w:lineRule="exact"/>
        <w:ind w:firstLine="1077"/>
        <w:rPr>
          <w:rFonts w:asciiTheme="minorEastAsia" w:hAnsiTheme="minorEastAsia" w:eastAsiaTheme="minorEastAsia"/>
          <w:kern w:val="0"/>
          <w:sz w:val="29"/>
          <w:szCs w:val="29"/>
        </w:rPr>
      </w:pPr>
      <w:r>
        <w:rPr>
          <w:rFonts w:hint="eastAsia" w:asciiTheme="minorEastAsia" w:hAnsiTheme="minorEastAsia" w:eastAsiaTheme="minorEastAsia"/>
          <w:b/>
          <w:kern w:val="0"/>
          <w:sz w:val="29"/>
          <w:szCs w:val="29"/>
        </w:rPr>
        <w:t>成果名称：</w:t>
      </w:r>
      <w:r>
        <w:rPr>
          <w:rFonts w:hint="eastAsia" w:asciiTheme="minorEastAsia" w:hAnsiTheme="minorEastAsia" w:eastAsiaTheme="minorEastAsia"/>
          <w:kern w:val="0"/>
          <w:sz w:val="29"/>
          <w:szCs w:val="29"/>
        </w:rPr>
        <w:t>学科融汇、产教融合、全程贯通的卓越工程师</w:t>
      </w:r>
    </w:p>
    <w:p>
      <w:pPr>
        <w:spacing w:line="800" w:lineRule="exact"/>
        <w:ind w:left="2100" w:firstLine="420"/>
        <w:rPr>
          <w:rFonts w:asciiTheme="minorEastAsia" w:hAnsiTheme="minorEastAsia" w:eastAsiaTheme="minorEastAsia"/>
          <w:b/>
          <w:sz w:val="30"/>
          <w:szCs w:val="30"/>
          <w:u w:val="single"/>
        </w:rPr>
      </w:pPr>
      <w:r>
        <w:rPr>
          <w:rFonts w:hint="eastAsia" w:asciiTheme="minorEastAsia" w:hAnsiTheme="minorEastAsia" w:eastAsiaTheme="minorEastAsia"/>
          <w:kern w:val="0"/>
          <w:sz w:val="29"/>
          <w:szCs w:val="29"/>
        </w:rPr>
        <w:t>高阶工程创新实训体系构建与实践</w:t>
      </w:r>
    </w:p>
    <w:p>
      <w:pPr>
        <w:spacing w:line="800" w:lineRule="exact"/>
        <w:ind w:firstLine="1077"/>
        <w:rPr>
          <w:rFonts w:asciiTheme="minorEastAsia" w:hAnsiTheme="minorEastAsia" w:eastAsiaTheme="minorEastAsia"/>
          <w:kern w:val="0"/>
          <w:sz w:val="29"/>
          <w:szCs w:val="29"/>
        </w:rPr>
      </w:pPr>
      <w:r>
        <w:rPr>
          <w:rFonts w:hint="eastAsia" w:asciiTheme="minorEastAsia" w:hAnsiTheme="minorEastAsia" w:eastAsiaTheme="minorEastAsia"/>
          <w:b/>
          <w:kern w:val="0"/>
          <w:sz w:val="29"/>
          <w:szCs w:val="29"/>
        </w:rPr>
        <w:t>成果完成人：</w:t>
      </w:r>
      <w:r>
        <w:rPr>
          <w:rFonts w:asciiTheme="minorEastAsia" w:hAnsiTheme="minorEastAsia" w:eastAsiaTheme="minorEastAsia"/>
          <w:b/>
          <w:kern w:val="0"/>
          <w:sz w:val="29"/>
          <w:szCs w:val="29"/>
        </w:rPr>
        <w:tab/>
      </w:r>
      <w:r>
        <w:rPr>
          <w:rFonts w:hint="eastAsia" w:asciiTheme="minorEastAsia" w:hAnsiTheme="minorEastAsia" w:eastAsiaTheme="minorEastAsia"/>
          <w:kern w:val="0"/>
          <w:sz w:val="29"/>
          <w:szCs w:val="29"/>
        </w:rPr>
        <w:t>包刚、薄拯、张朝阳、魏兵、沈哲</w:t>
      </w:r>
    </w:p>
    <w:p>
      <w:pPr>
        <w:spacing w:line="800" w:lineRule="exact"/>
        <w:ind w:left="1863" w:firstLine="1077"/>
        <w:rPr>
          <w:rFonts w:asciiTheme="minorEastAsia" w:hAnsiTheme="minorEastAsia" w:eastAsiaTheme="minorEastAsia"/>
          <w:kern w:val="0"/>
          <w:sz w:val="29"/>
          <w:szCs w:val="29"/>
        </w:rPr>
      </w:pPr>
      <w:r>
        <w:rPr>
          <w:rFonts w:hint="eastAsia" w:asciiTheme="minorEastAsia" w:hAnsiTheme="minorEastAsia" w:eastAsiaTheme="minorEastAsia"/>
          <w:kern w:val="0"/>
          <w:sz w:val="29"/>
          <w:szCs w:val="29"/>
        </w:rPr>
        <w:t>金盛、喻嘉乐、朱辰、陈金飞、罗殷</w:t>
      </w:r>
    </w:p>
    <w:p>
      <w:pPr>
        <w:spacing w:line="800" w:lineRule="exact"/>
        <w:ind w:firstLine="1077"/>
        <w:rPr>
          <w:rFonts w:asciiTheme="minorEastAsia" w:hAnsiTheme="minorEastAsia" w:eastAsiaTheme="minorEastAsia"/>
          <w:kern w:val="0"/>
          <w:sz w:val="29"/>
          <w:szCs w:val="29"/>
        </w:rPr>
      </w:pPr>
      <w:r>
        <w:rPr>
          <w:rFonts w:hint="eastAsia" w:asciiTheme="minorEastAsia" w:hAnsiTheme="minorEastAsia" w:eastAsiaTheme="minorEastAsia"/>
          <w:b/>
          <w:kern w:val="0"/>
          <w:sz w:val="29"/>
          <w:szCs w:val="29"/>
        </w:rPr>
        <w:t>成果完成单位（盖章）：</w:t>
      </w:r>
      <w:r>
        <w:rPr>
          <w:rFonts w:hint="eastAsia" w:asciiTheme="minorEastAsia" w:hAnsiTheme="minorEastAsia" w:eastAsiaTheme="minorEastAsia"/>
          <w:kern w:val="0"/>
          <w:sz w:val="29"/>
          <w:szCs w:val="29"/>
        </w:rPr>
        <w:t>浙江大学工程师学院</w:t>
      </w:r>
    </w:p>
    <w:p>
      <w:pPr>
        <w:spacing w:line="800" w:lineRule="exact"/>
        <w:ind w:firstLine="1077"/>
        <w:rPr>
          <w:rFonts w:asciiTheme="minorEastAsia" w:hAnsiTheme="minorEastAsia" w:eastAsiaTheme="minorEastAsia"/>
          <w:kern w:val="0"/>
          <w:sz w:val="29"/>
          <w:szCs w:val="29"/>
        </w:rPr>
      </w:pPr>
      <w:r>
        <w:rPr>
          <w:rFonts w:hint="eastAsia" w:asciiTheme="minorEastAsia" w:hAnsiTheme="minorEastAsia" w:eastAsiaTheme="minorEastAsia"/>
          <w:b/>
          <w:kern w:val="0"/>
          <w:sz w:val="29"/>
          <w:szCs w:val="29"/>
        </w:rPr>
        <w:t>成果起止时间：</w:t>
      </w:r>
      <w:r>
        <w:rPr>
          <w:rFonts w:hint="eastAsia" w:asciiTheme="minorEastAsia" w:hAnsiTheme="minorEastAsia" w:eastAsiaTheme="minorEastAsia"/>
          <w:kern w:val="0"/>
          <w:sz w:val="29"/>
          <w:szCs w:val="29"/>
        </w:rPr>
        <w:t>2022年6月-2024年6月</w:t>
      </w:r>
    </w:p>
    <w:p>
      <w:pPr>
        <w:spacing w:line="800" w:lineRule="exact"/>
        <w:ind w:firstLine="1077"/>
        <w:rPr>
          <w:rFonts w:asciiTheme="minorEastAsia" w:hAnsiTheme="minorEastAsia" w:eastAsiaTheme="minorEastAsia"/>
          <w:kern w:val="0"/>
          <w:sz w:val="29"/>
          <w:szCs w:val="29"/>
        </w:rPr>
      </w:pPr>
      <w:r>
        <w:rPr>
          <w:rFonts w:hint="eastAsia" w:asciiTheme="minorEastAsia" w:hAnsiTheme="minorEastAsia" w:eastAsiaTheme="minorEastAsia"/>
          <w:b/>
          <w:kern w:val="0"/>
          <w:sz w:val="29"/>
          <w:szCs w:val="29"/>
        </w:rPr>
        <w:t>申请时间：</w:t>
      </w:r>
      <w:r>
        <w:rPr>
          <w:rFonts w:hint="eastAsia" w:asciiTheme="minorEastAsia" w:hAnsiTheme="minorEastAsia" w:eastAsiaTheme="minorEastAsia"/>
          <w:kern w:val="0"/>
          <w:sz w:val="29"/>
          <w:szCs w:val="29"/>
        </w:rPr>
        <w:t xml:space="preserve">  </w:t>
      </w:r>
      <w:r>
        <w:rPr>
          <w:rFonts w:asciiTheme="minorEastAsia" w:hAnsiTheme="minorEastAsia" w:eastAsiaTheme="minorEastAsia"/>
          <w:kern w:val="0"/>
          <w:sz w:val="29"/>
          <w:szCs w:val="29"/>
        </w:rPr>
        <w:t xml:space="preserve">        </w:t>
      </w:r>
      <w:r>
        <w:rPr>
          <w:rFonts w:hint="eastAsia" w:asciiTheme="minorEastAsia" w:hAnsiTheme="minorEastAsia" w:eastAsiaTheme="minorEastAsia"/>
          <w:kern w:val="0"/>
          <w:sz w:val="29"/>
          <w:szCs w:val="29"/>
        </w:rPr>
        <w:t xml:space="preserve"> 2024年6月20日</w:t>
      </w:r>
    </w:p>
    <w:p>
      <w:pPr>
        <w:spacing w:line="800" w:lineRule="exact"/>
        <w:ind w:firstLine="1077"/>
        <w:rPr>
          <w:rFonts w:asciiTheme="minorEastAsia" w:hAnsiTheme="minorEastAsia" w:eastAsiaTheme="minorEastAsia"/>
          <w:b/>
          <w:sz w:val="28"/>
        </w:rPr>
      </w:pPr>
    </w:p>
    <w:p>
      <w:pPr>
        <w:spacing w:line="600" w:lineRule="exact"/>
        <w:jc w:val="center"/>
        <w:rPr>
          <w:rFonts w:asciiTheme="minorEastAsia" w:hAnsiTheme="minorEastAsia" w:eastAsiaTheme="minorEastAsia"/>
          <w:b/>
          <w:sz w:val="30"/>
          <w:szCs w:val="30"/>
        </w:rPr>
      </w:pPr>
    </w:p>
    <w:p>
      <w:pPr>
        <w:spacing w:line="600" w:lineRule="exact"/>
        <w:jc w:val="center"/>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浙江省研究生教育学会制</w:t>
      </w:r>
    </w:p>
    <w:p>
      <w:pPr>
        <w:spacing w:line="600" w:lineRule="exact"/>
        <w:jc w:val="center"/>
        <w:rPr>
          <w:rFonts w:asciiTheme="minorEastAsia" w:hAnsiTheme="minorEastAsia" w:eastAsiaTheme="minorEastAsia"/>
          <w:kern w:val="0"/>
          <w:sz w:val="30"/>
          <w:szCs w:val="30"/>
        </w:rPr>
      </w:pPr>
    </w:p>
    <w:p>
      <w:pPr>
        <w:pStyle w:val="14"/>
        <w:ind w:left="930" w:firstLine="0" w:firstLineChars="0"/>
        <w:rPr>
          <w:rFonts w:asciiTheme="minorEastAsia" w:hAnsiTheme="minorEastAsia" w:eastAsiaTheme="minorEastAsia"/>
          <w:b/>
          <w:sz w:val="36"/>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p>
    <w:p>
      <w:pPr>
        <w:jc w:val="center"/>
        <w:rPr>
          <w:rFonts w:asciiTheme="minorEastAsia" w:hAnsiTheme="minorEastAsia" w:eastAsiaTheme="minorEastAsia"/>
          <w:b/>
          <w:sz w:val="36"/>
        </w:rPr>
      </w:pPr>
      <w:r>
        <w:rPr>
          <w:rFonts w:hint="eastAsia" w:asciiTheme="minorEastAsia" w:hAnsiTheme="minorEastAsia" w:eastAsiaTheme="minorEastAsia"/>
          <w:b/>
          <w:sz w:val="36"/>
        </w:rPr>
        <w:t>填 表 说 明</w:t>
      </w:r>
    </w:p>
    <w:p>
      <w:pPr>
        <w:pStyle w:val="14"/>
        <w:ind w:left="930" w:firstLine="0" w:firstLineChars="0"/>
        <w:rPr>
          <w:rFonts w:asciiTheme="minorEastAsia" w:hAnsiTheme="minorEastAsia" w:eastAsiaTheme="minorEastAsia"/>
          <w:b/>
          <w:sz w:val="28"/>
          <w:szCs w:val="28"/>
        </w:rPr>
      </w:pPr>
    </w:p>
    <w:p>
      <w:pPr>
        <w:pStyle w:val="14"/>
        <w:ind w:left="930" w:firstLine="0" w:firstLineChars="0"/>
        <w:rPr>
          <w:rFonts w:asciiTheme="minorEastAsia" w:hAnsiTheme="minorEastAsia" w:eastAsiaTheme="minorEastAsia"/>
          <w:b/>
          <w:sz w:val="28"/>
          <w:szCs w:val="28"/>
        </w:rPr>
      </w:pPr>
    </w:p>
    <w:p>
      <w:pPr>
        <w:pStyle w:val="14"/>
        <w:spacing w:line="360" w:lineRule="auto"/>
        <w:ind w:left="930" w:firstLine="0" w:firstLineChars="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．申请编号由学会统一填写；</w:t>
      </w:r>
    </w:p>
    <w:p>
      <w:pPr>
        <w:pStyle w:val="14"/>
        <w:spacing w:line="360" w:lineRule="auto"/>
        <w:ind w:left="93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2．成果名称：字数（含符号）不超过35个汉字；</w:t>
      </w:r>
    </w:p>
    <w:p>
      <w:pPr>
        <w:pStyle w:val="14"/>
        <w:spacing w:line="360" w:lineRule="auto"/>
        <w:ind w:left="93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3．成果曾获奖情况不包含商业性奖励；</w:t>
      </w:r>
    </w:p>
    <w:p>
      <w:pPr>
        <w:pStyle w:val="14"/>
        <w:spacing w:line="360" w:lineRule="auto"/>
        <w:ind w:left="93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4．成果起止时间指研究时间（教育研究类）、实践检验时间（教育实践类）；</w:t>
      </w:r>
    </w:p>
    <w:p>
      <w:pPr>
        <w:pStyle w:val="14"/>
        <w:spacing w:line="360" w:lineRule="auto"/>
        <w:ind w:left="93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5．申请书用A4双面打印，正文内容应不小于四号字。需签字、盖章处打印或复印无效。</w:t>
      </w:r>
    </w:p>
    <w:p>
      <w:pPr>
        <w:widowControl/>
        <w:jc w:val="left"/>
        <w:rPr>
          <w:rFonts w:asciiTheme="minorEastAsia" w:hAnsiTheme="minorEastAsia" w:eastAsiaTheme="minorEastAsia"/>
          <w:spacing w:val="-10"/>
          <w:kern w:val="0"/>
          <w:sz w:val="36"/>
          <w:szCs w:val="36"/>
        </w:rPr>
      </w:pPr>
      <w:r>
        <w:rPr>
          <w:rFonts w:asciiTheme="minorEastAsia" w:hAnsiTheme="minorEastAsia" w:eastAsiaTheme="minorEastAsia"/>
          <w:b/>
          <w:sz w:val="36"/>
        </w:rPr>
        <w:br w:type="page"/>
      </w:r>
    </w:p>
    <w:p>
      <w:pPr>
        <w:pStyle w:val="14"/>
        <w:ind w:left="-2" w:leftChars="-1" w:firstLine="0" w:firstLineChars="0"/>
        <w:rPr>
          <w:rFonts w:asciiTheme="minorEastAsia" w:hAnsiTheme="minorEastAsia" w:eastAsiaTheme="minorEastAsia"/>
          <w:spacing w:val="-10"/>
          <w:kern w:val="0"/>
          <w:sz w:val="28"/>
          <w:szCs w:val="28"/>
        </w:rPr>
      </w:pPr>
      <w:r>
        <w:rPr>
          <w:rFonts w:hint="eastAsia" w:asciiTheme="minorEastAsia" w:hAnsiTheme="minorEastAsia" w:eastAsiaTheme="minorEastAsia"/>
          <w:spacing w:val="-10"/>
          <w:kern w:val="0"/>
          <w:sz w:val="28"/>
          <w:szCs w:val="28"/>
        </w:rPr>
        <w:t>1.成果报告（不超过5000字）；</w:t>
      </w:r>
    </w:p>
    <w:p>
      <w:pPr>
        <w:pStyle w:val="14"/>
        <w:ind w:left="-2" w:leftChars="-1" w:firstLine="0" w:firstLineChars="0"/>
        <w:jc w:val="center"/>
        <w:rPr>
          <w:rFonts w:ascii="华文中宋" w:hAnsi="华文中宋" w:eastAsia="华文中宋"/>
          <w:spacing w:val="-10"/>
          <w:kern w:val="0"/>
          <w:sz w:val="32"/>
          <w:szCs w:val="32"/>
        </w:rPr>
      </w:pPr>
      <w:r>
        <w:rPr>
          <w:rFonts w:hint="eastAsia" w:ascii="华文中宋" w:hAnsi="华文中宋" w:eastAsia="华文中宋"/>
          <w:spacing w:val="-10"/>
          <w:kern w:val="0"/>
          <w:sz w:val="32"/>
          <w:szCs w:val="32"/>
        </w:rPr>
        <w:t>学科融汇、产教融合、全程贯通的卓越工程师</w:t>
      </w:r>
    </w:p>
    <w:p>
      <w:pPr>
        <w:pStyle w:val="14"/>
        <w:ind w:left="-2" w:leftChars="-1" w:firstLine="0" w:firstLineChars="0"/>
        <w:jc w:val="center"/>
        <w:rPr>
          <w:rFonts w:ascii="华文中宋" w:hAnsi="华文中宋" w:eastAsia="华文中宋"/>
          <w:spacing w:val="-10"/>
          <w:kern w:val="0"/>
          <w:sz w:val="32"/>
          <w:szCs w:val="32"/>
        </w:rPr>
      </w:pPr>
      <w:r>
        <w:rPr>
          <w:rFonts w:hint="eastAsia" w:ascii="华文中宋" w:hAnsi="华文中宋" w:eastAsia="华文中宋"/>
          <w:spacing w:val="-10"/>
          <w:kern w:val="0"/>
          <w:sz w:val="32"/>
          <w:szCs w:val="32"/>
        </w:rPr>
        <w:t>高阶工程创新实训体系构建与探索实践</w:t>
      </w:r>
    </w:p>
    <w:p>
      <w:pPr>
        <w:pStyle w:val="14"/>
        <w:ind w:left="-2" w:leftChars="-1" w:firstLine="600"/>
        <w:rPr>
          <w:rFonts w:eastAsia="仿宋"/>
          <w:spacing w:val="-10"/>
          <w:kern w:val="0"/>
          <w:sz w:val="32"/>
          <w:szCs w:val="32"/>
        </w:rPr>
      </w:pPr>
      <w:r>
        <w:rPr>
          <w:rFonts w:eastAsia="仿宋"/>
          <w:spacing w:val="-10"/>
          <w:kern w:val="0"/>
          <w:sz w:val="32"/>
          <w:szCs w:val="32"/>
        </w:rPr>
        <w:t>习近平总书记在中央人才工作会议上深刻地指出：“要培养大批爱党报国、敬业奉献、具有突出技术创新能力、善于解决复杂工程问题的工程师队伍”。随着经济社会的不断发展，工程教育和产业发展加速融合，学科专业深度交叉，大量新技术新业态竞相涌现，以智能化为特征的第四次工业革命正在深刻影响卓越工程师的培养路径和育人内涵，对新时代卓越工程师也提出了更高要求。卓越工程师要能够对复杂的工程问题进行系统性、逻辑性、科学性的分析，能够收集、整理、处理、解释各种数据和信息，能够运用数学、物理、化学等基础科学知识和方法进行建模、仿真、优化等，能够辨别分析结果的有效性、可靠性、准确性等。本成果坚持立德树人，通过开发高水平工程创新研发“真环境”，深化实践教学改革，打造学科融汇、产教协同、全程贯通的卓越工程师高阶工程创新实训体系；将基础实践课程、项目制专业实践课程、学生入企实践、创新创业实践等有效衔接，着力提升研究生工程创新实践能力、工程创新意识以及综合工程素养。</w:t>
      </w:r>
    </w:p>
    <w:p>
      <w:pPr>
        <w:pStyle w:val="14"/>
        <w:ind w:firstLine="600"/>
        <w:rPr>
          <w:rFonts w:eastAsia="仿宋"/>
          <w:spacing w:val="-10"/>
          <w:kern w:val="0"/>
          <w:sz w:val="32"/>
          <w:szCs w:val="32"/>
        </w:rPr>
      </w:pPr>
      <w:r>
        <w:rPr>
          <w:rFonts w:eastAsia="仿宋"/>
          <w:spacing w:val="-10"/>
          <w:kern w:val="0"/>
          <w:sz w:val="32"/>
          <w:szCs w:val="32"/>
        </w:rPr>
        <w:t>（1）拟解决的教学问题及解决问题的方法</w:t>
      </w:r>
    </w:p>
    <w:p>
      <w:pPr>
        <w:pStyle w:val="14"/>
        <w:ind w:left="-2" w:leftChars="-1" w:firstLine="600"/>
        <w:rPr>
          <w:rFonts w:eastAsia="仿宋"/>
          <w:spacing w:val="-10"/>
          <w:kern w:val="0"/>
          <w:sz w:val="32"/>
          <w:szCs w:val="32"/>
        </w:rPr>
      </w:pPr>
      <w:r>
        <w:rPr>
          <w:rFonts w:eastAsia="仿宋"/>
          <w:spacing w:val="-10"/>
          <w:kern w:val="0"/>
          <w:sz w:val="32"/>
          <w:szCs w:val="32"/>
        </w:rPr>
        <w:t>现有专业学位研究生专业知识结构不尽合理、实践环节不足，工程意识缺乏、高阶工程综合技能欠缺，对产业技术缺乏系统性认知，学习目标不明，迫切需要加深产业认知、强化工程意识、增强系统思维、掌握综合技能。工程实践教学是培育专业学位研究生工程实践能力和创新能力一个重要途径。然而，就目前的研究生工程创新实训体系来看，存在以下几个亟待解决的问题：</w:t>
      </w:r>
    </w:p>
    <w:p>
      <w:pPr>
        <w:pStyle w:val="14"/>
        <w:ind w:firstLine="600"/>
        <w:rPr>
          <w:rFonts w:eastAsia="仿宋"/>
          <w:spacing w:val="-10"/>
          <w:kern w:val="0"/>
          <w:sz w:val="32"/>
          <w:szCs w:val="32"/>
        </w:rPr>
      </w:pPr>
      <w:r>
        <w:rPr>
          <w:rFonts w:hint="eastAsia" w:ascii="宋体" w:hAnsi="宋体" w:cs="宋体"/>
          <w:spacing w:val="-10"/>
          <w:kern w:val="0"/>
          <w:sz w:val="32"/>
          <w:szCs w:val="32"/>
        </w:rPr>
        <w:t>①</w:t>
      </w:r>
      <w:r>
        <w:rPr>
          <w:rFonts w:eastAsia="仿宋"/>
          <w:spacing w:val="-10"/>
          <w:kern w:val="0"/>
          <w:sz w:val="32"/>
          <w:szCs w:val="32"/>
        </w:rPr>
        <w:t>实践教学资源不足</w:t>
      </w:r>
    </w:p>
    <w:p>
      <w:pPr>
        <w:pStyle w:val="14"/>
        <w:ind w:left="-2" w:leftChars="-1" w:firstLine="600"/>
        <w:rPr>
          <w:rFonts w:eastAsia="仿宋"/>
          <w:spacing w:val="-10"/>
          <w:kern w:val="0"/>
          <w:sz w:val="32"/>
          <w:szCs w:val="32"/>
        </w:rPr>
      </w:pPr>
      <w:r>
        <w:rPr>
          <w:rFonts w:eastAsia="仿宋"/>
          <w:spacing w:val="-10"/>
          <w:kern w:val="0"/>
          <w:sz w:val="32"/>
          <w:szCs w:val="32"/>
        </w:rPr>
        <w:t>由于传统教学中，针对研究生的工程实践训练未得到足够重视，导致高校在研究生工程实践教学方面的投入不足，实践教学资源匮乏。这包括实验设备陈旧、实验室场地紧张、实践项目缺乏等。</w:t>
      </w:r>
    </w:p>
    <w:p>
      <w:pPr>
        <w:pStyle w:val="14"/>
        <w:ind w:firstLine="600"/>
        <w:rPr>
          <w:rFonts w:eastAsia="仿宋"/>
          <w:spacing w:val="-10"/>
          <w:kern w:val="0"/>
          <w:sz w:val="32"/>
          <w:szCs w:val="32"/>
        </w:rPr>
      </w:pPr>
      <w:r>
        <w:rPr>
          <w:rFonts w:hint="eastAsia" w:ascii="宋体" w:hAnsi="宋体" w:cs="宋体"/>
          <w:spacing w:val="-10"/>
          <w:kern w:val="0"/>
          <w:sz w:val="32"/>
          <w:szCs w:val="32"/>
        </w:rPr>
        <w:t>②</w:t>
      </w:r>
      <w:r>
        <w:rPr>
          <w:rFonts w:eastAsia="仿宋"/>
          <w:spacing w:val="-10"/>
          <w:kern w:val="0"/>
          <w:sz w:val="32"/>
          <w:szCs w:val="32"/>
        </w:rPr>
        <w:t>产教融合深度不足</w:t>
      </w:r>
    </w:p>
    <w:p>
      <w:pPr>
        <w:pStyle w:val="14"/>
        <w:ind w:left="-2" w:leftChars="-1" w:firstLine="600"/>
        <w:rPr>
          <w:rFonts w:eastAsia="仿宋"/>
          <w:spacing w:val="-10"/>
          <w:kern w:val="0"/>
          <w:sz w:val="32"/>
          <w:szCs w:val="32"/>
        </w:rPr>
      </w:pPr>
      <w:r>
        <w:rPr>
          <w:rFonts w:eastAsia="仿宋"/>
          <w:spacing w:val="-10"/>
          <w:kern w:val="0"/>
          <w:sz w:val="32"/>
          <w:szCs w:val="32"/>
        </w:rPr>
        <w:t>高校与企业之间的合作是提升研究生工程实践能力的有效途径。然而，目前高校与企业之间的合作“合尔不深”，缺乏长期稳定的合作关系，在开展高水平的科研合作、技术服务、校企导师联合指导和实践教学方面存在诸多制约因素，无法充分发挥企业的积极性和主动性，推动校企联合开展平台共建、实践训练和人才培养。这也间接导致高校培养人才培养目标与社会需求不匹配。</w:t>
      </w:r>
    </w:p>
    <w:p>
      <w:pPr>
        <w:pStyle w:val="14"/>
        <w:ind w:firstLine="600"/>
        <w:rPr>
          <w:rFonts w:eastAsia="仿宋"/>
          <w:spacing w:val="-10"/>
          <w:kern w:val="0"/>
          <w:sz w:val="32"/>
          <w:szCs w:val="32"/>
        </w:rPr>
      </w:pPr>
      <w:r>
        <w:rPr>
          <w:rFonts w:hint="eastAsia" w:ascii="宋体" w:hAnsi="宋体" w:cs="宋体"/>
          <w:spacing w:val="-10"/>
          <w:kern w:val="0"/>
          <w:sz w:val="32"/>
          <w:szCs w:val="32"/>
        </w:rPr>
        <w:t>③</w:t>
      </w:r>
      <w:r>
        <w:rPr>
          <w:rFonts w:eastAsia="仿宋"/>
          <w:spacing w:val="-10"/>
          <w:kern w:val="0"/>
          <w:sz w:val="32"/>
          <w:szCs w:val="32"/>
        </w:rPr>
        <w:t>实践导师指导能力不足</w:t>
      </w:r>
    </w:p>
    <w:p>
      <w:pPr>
        <w:pStyle w:val="14"/>
        <w:ind w:left="-2" w:leftChars="-1" w:firstLine="600"/>
        <w:rPr>
          <w:rFonts w:eastAsia="仿宋"/>
          <w:spacing w:val="-10"/>
          <w:kern w:val="0"/>
          <w:sz w:val="32"/>
          <w:szCs w:val="32"/>
        </w:rPr>
      </w:pPr>
      <w:r>
        <w:rPr>
          <w:rFonts w:eastAsia="仿宋"/>
          <w:spacing w:val="-10"/>
          <w:kern w:val="0"/>
          <w:sz w:val="32"/>
          <w:szCs w:val="32"/>
        </w:rPr>
        <w:t>导师在各自领域都有较深厚的专业理论知识，但部分导师对工程实践接触较少，也很少较全面地解决现场工程实际课题，在讲授研究生课程和指导学生论文过程中，很难将理论知识和工程实践知识较好地融合。同时，校企联合培养专业学位研究生和企业导师的作用还发挥不够，企业导师还没有完全投入到指导研究生的各个环节中，未能将企业导师实践动手能力和善于解决工程实际问题的能力传授给学生。</w:t>
      </w:r>
    </w:p>
    <w:p>
      <w:pPr>
        <w:pStyle w:val="14"/>
        <w:ind w:firstLine="600"/>
        <w:rPr>
          <w:rFonts w:eastAsia="仿宋"/>
          <w:spacing w:val="-10"/>
          <w:kern w:val="0"/>
          <w:sz w:val="32"/>
          <w:szCs w:val="32"/>
        </w:rPr>
      </w:pPr>
      <w:r>
        <w:rPr>
          <w:rFonts w:hint="eastAsia" w:ascii="宋体" w:hAnsi="宋体" w:cs="宋体"/>
          <w:spacing w:val="-10"/>
          <w:kern w:val="0"/>
          <w:sz w:val="32"/>
          <w:szCs w:val="32"/>
        </w:rPr>
        <w:t>④</w:t>
      </w:r>
      <w:r>
        <w:rPr>
          <w:rFonts w:eastAsia="仿宋"/>
          <w:spacing w:val="-10"/>
          <w:kern w:val="0"/>
          <w:sz w:val="32"/>
          <w:szCs w:val="32"/>
        </w:rPr>
        <w:t>实践教学多学科交叉内容不足</w:t>
      </w:r>
    </w:p>
    <w:p>
      <w:pPr>
        <w:pStyle w:val="14"/>
        <w:ind w:left="-2" w:leftChars="-1" w:firstLine="600"/>
        <w:rPr>
          <w:rFonts w:eastAsia="仿宋"/>
          <w:spacing w:val="-10"/>
          <w:kern w:val="0"/>
          <w:sz w:val="32"/>
          <w:szCs w:val="32"/>
        </w:rPr>
      </w:pPr>
      <w:r>
        <w:rPr>
          <w:rFonts w:eastAsia="仿宋"/>
          <w:spacing w:val="-10"/>
          <w:kern w:val="0"/>
          <w:sz w:val="32"/>
          <w:szCs w:val="32"/>
        </w:rPr>
        <w:t>传统的工程教育往往按照单一学科进行课程设置，缺乏跨学科的整合，或因教师队伍主要由单一学科背景的教师组成，限制了多学科交叉内容的引入。另外理论教学内容与工程实践脱节现象较明显，未能真正体现专业学位研究生工程实践能力强的培养特色；在教学方法上仍主要沿用学术型研究生讲授模式，以知识讲授为主，重理论，轻实践，多灌输，少研讨，不能激发学生的学习兴趣和主动性，缺少对学生独立思考能力和工程应用能力的培养。</w:t>
      </w:r>
    </w:p>
    <w:p>
      <w:pPr>
        <w:pStyle w:val="14"/>
        <w:ind w:left="-2" w:leftChars="-1" w:firstLine="600"/>
        <w:rPr>
          <w:rFonts w:eastAsia="仿宋"/>
          <w:spacing w:val="-10"/>
          <w:kern w:val="0"/>
          <w:sz w:val="32"/>
          <w:szCs w:val="32"/>
        </w:rPr>
      </w:pPr>
      <w:r>
        <w:rPr>
          <w:rFonts w:eastAsia="仿宋"/>
          <w:spacing w:val="-10"/>
          <w:kern w:val="0"/>
          <w:sz w:val="32"/>
          <w:szCs w:val="32"/>
        </w:rPr>
        <w:t>本成果紧扣卓越工程师培养的核心需求，聚焦高阶工程创新实训体系构建，强化研究生创新思维和工程实践能力，为其未来在工程领域的卓越发展奠定坚实基础，重点解决以下教学问题：</w:t>
      </w:r>
    </w:p>
    <w:p>
      <w:pPr>
        <w:pStyle w:val="14"/>
        <w:ind w:firstLine="600"/>
        <w:rPr>
          <w:rFonts w:eastAsia="仿宋"/>
          <w:spacing w:val="-10"/>
          <w:kern w:val="0"/>
          <w:sz w:val="32"/>
          <w:szCs w:val="32"/>
        </w:rPr>
      </w:pPr>
      <w:r>
        <w:rPr>
          <w:rFonts w:hint="eastAsia" w:ascii="宋体" w:hAnsi="宋体" w:cs="宋体"/>
          <w:spacing w:val="-10"/>
          <w:kern w:val="0"/>
          <w:sz w:val="32"/>
          <w:szCs w:val="32"/>
        </w:rPr>
        <w:t>①</w:t>
      </w:r>
      <w:r>
        <w:rPr>
          <w:rFonts w:eastAsia="仿宋"/>
          <w:spacing w:val="-10"/>
          <w:kern w:val="0"/>
          <w:sz w:val="32"/>
          <w:szCs w:val="32"/>
        </w:rPr>
        <w:t>未来卓越工程解决复杂工程能力不足的问题</w:t>
      </w:r>
    </w:p>
    <w:p>
      <w:pPr>
        <w:pStyle w:val="14"/>
        <w:ind w:firstLine="600"/>
        <w:rPr>
          <w:rFonts w:eastAsia="仿宋"/>
          <w:spacing w:val="-10"/>
          <w:kern w:val="0"/>
          <w:sz w:val="32"/>
          <w:szCs w:val="32"/>
        </w:rPr>
      </w:pPr>
      <w:r>
        <w:rPr>
          <w:rFonts w:hint="eastAsia" w:ascii="宋体" w:hAnsi="宋体" w:cs="宋体"/>
          <w:spacing w:val="-10"/>
          <w:kern w:val="0"/>
          <w:sz w:val="32"/>
          <w:szCs w:val="32"/>
        </w:rPr>
        <w:t>②</w:t>
      </w:r>
      <w:r>
        <w:rPr>
          <w:rFonts w:eastAsia="仿宋"/>
          <w:spacing w:val="-10"/>
          <w:kern w:val="0"/>
          <w:sz w:val="32"/>
          <w:szCs w:val="32"/>
        </w:rPr>
        <w:t>高校现有卓越工程师实践教学体系不够完善的问题</w:t>
      </w:r>
    </w:p>
    <w:p>
      <w:pPr>
        <w:pStyle w:val="14"/>
        <w:ind w:firstLine="600"/>
        <w:rPr>
          <w:rFonts w:eastAsia="仿宋"/>
          <w:spacing w:val="-10"/>
          <w:kern w:val="0"/>
          <w:sz w:val="32"/>
          <w:szCs w:val="32"/>
        </w:rPr>
      </w:pPr>
      <w:r>
        <w:rPr>
          <w:rFonts w:hint="eastAsia" w:ascii="宋体" w:hAnsi="宋体" w:cs="宋体"/>
          <w:spacing w:val="-10"/>
          <w:kern w:val="0"/>
          <w:sz w:val="32"/>
          <w:szCs w:val="32"/>
        </w:rPr>
        <w:t>③</w:t>
      </w:r>
      <w:r>
        <w:rPr>
          <w:rFonts w:eastAsia="仿宋"/>
          <w:spacing w:val="-10"/>
          <w:kern w:val="0"/>
          <w:sz w:val="32"/>
          <w:szCs w:val="32"/>
        </w:rPr>
        <w:t>卓越工程师培养与产业发展脱节的问题</w:t>
      </w:r>
    </w:p>
    <w:p>
      <w:pPr>
        <w:pStyle w:val="14"/>
        <w:ind w:firstLine="600"/>
        <w:rPr>
          <w:rFonts w:eastAsia="仿宋"/>
          <w:spacing w:val="-10"/>
          <w:kern w:val="0"/>
          <w:sz w:val="32"/>
          <w:szCs w:val="32"/>
        </w:rPr>
      </w:pPr>
      <w:r>
        <w:rPr>
          <w:rFonts w:eastAsia="仿宋"/>
          <w:spacing w:val="-10"/>
          <w:kern w:val="0"/>
          <w:sz w:val="32"/>
          <w:szCs w:val="32"/>
        </w:rPr>
        <w:t>解决问题的方法：</w:t>
      </w:r>
    </w:p>
    <w:p>
      <w:pPr>
        <w:pStyle w:val="14"/>
        <w:ind w:left="-2" w:leftChars="-1" w:firstLine="600"/>
        <w:rPr>
          <w:rFonts w:eastAsia="仿宋"/>
          <w:spacing w:val="-10"/>
          <w:kern w:val="0"/>
          <w:sz w:val="32"/>
          <w:szCs w:val="32"/>
        </w:rPr>
      </w:pPr>
      <w:r>
        <w:rPr>
          <w:rFonts w:hint="eastAsia" w:ascii="宋体" w:hAnsi="宋体" w:cs="宋体"/>
          <w:spacing w:val="-10"/>
          <w:kern w:val="0"/>
          <w:sz w:val="32"/>
          <w:szCs w:val="32"/>
        </w:rPr>
        <w:t>①</w:t>
      </w:r>
      <w:r>
        <w:rPr>
          <w:rFonts w:eastAsia="仿宋"/>
          <w:spacing w:val="-10"/>
          <w:kern w:val="0"/>
          <w:sz w:val="32"/>
          <w:szCs w:val="32"/>
        </w:rPr>
        <w:t>理</w:t>
      </w:r>
      <w:r>
        <w:rPr>
          <w:rFonts w:hint="eastAsia" w:eastAsia="仿宋"/>
          <w:spacing w:val="-10"/>
          <w:kern w:val="0"/>
          <w:sz w:val="32"/>
          <w:szCs w:val="32"/>
        </w:rPr>
        <w:t>-</w:t>
      </w:r>
      <w:r>
        <w:rPr>
          <w:rFonts w:eastAsia="仿宋"/>
          <w:spacing w:val="-10"/>
          <w:kern w:val="0"/>
          <w:sz w:val="32"/>
          <w:szCs w:val="32"/>
        </w:rPr>
        <w:t>虚</w:t>
      </w:r>
      <w:r>
        <w:rPr>
          <w:rFonts w:hint="eastAsia" w:eastAsia="仿宋"/>
          <w:spacing w:val="-10"/>
          <w:kern w:val="0"/>
          <w:sz w:val="32"/>
          <w:szCs w:val="32"/>
        </w:rPr>
        <w:t>-</w:t>
      </w:r>
      <w:r>
        <w:rPr>
          <w:rFonts w:eastAsia="仿宋"/>
          <w:spacing w:val="-10"/>
          <w:kern w:val="0"/>
          <w:sz w:val="32"/>
          <w:szCs w:val="32"/>
        </w:rPr>
        <w:t>实融合建设校内多基地协同联动工程实践平台，实现多方位实践资源跨时空共享</w:t>
      </w:r>
    </w:p>
    <w:p>
      <w:pPr>
        <w:pStyle w:val="14"/>
        <w:ind w:left="-2" w:leftChars="-1" w:firstLine="600"/>
        <w:rPr>
          <w:rFonts w:eastAsia="仿宋"/>
          <w:spacing w:val="-10"/>
          <w:kern w:val="0"/>
          <w:sz w:val="32"/>
          <w:szCs w:val="32"/>
        </w:rPr>
      </w:pPr>
      <w:r>
        <w:rPr>
          <w:rFonts w:eastAsia="仿宋"/>
          <w:spacing w:val="-10"/>
          <w:kern w:val="0"/>
          <w:sz w:val="32"/>
          <w:szCs w:val="32"/>
        </w:rPr>
        <w:t>以深度科产教融合为依托，结合数字化技术，以国家卓越工程师学院为中心，整合</w:t>
      </w:r>
      <w:r>
        <w:rPr>
          <w:rFonts w:hint="eastAsia" w:eastAsia="仿宋"/>
          <w:spacing w:val="-10"/>
          <w:kern w:val="0"/>
          <w:sz w:val="32"/>
          <w:szCs w:val="32"/>
        </w:rPr>
        <w:t>能源、电子信息、机械制造、土木建工等多学科</w:t>
      </w:r>
      <w:r>
        <w:rPr>
          <w:rFonts w:eastAsia="仿宋"/>
          <w:spacing w:val="-10"/>
          <w:kern w:val="0"/>
          <w:sz w:val="32"/>
          <w:szCs w:val="32"/>
        </w:rPr>
        <w:t>工程创新实训平台，实景接入各分院和项目制产教融合基地的实训平台场景、部分校内国家和省部级平台基地创新系统，打通融合合作企业创新平台和真实应用场景，实现了工程创新训练资源跨域灵活共享和集中展现。以虚实共建、数实融通的工业元宇宙方式构建可持续、可扩展、可演进的高能级工程师技术实践平台，开展虚实结合、时空无阻、研学互促、校企联动的全方位、全流程创新实践训练。已建设完成的校内多基地协同联动工程实践平台架构如图1.</w:t>
      </w:r>
    </w:p>
    <w:p>
      <w:pPr>
        <w:ind w:firstLine="275" w:firstLineChars="131"/>
        <w:jc w:val="center"/>
        <w:rPr>
          <w:rFonts w:eastAsia="仿宋"/>
          <w:spacing w:val="-10"/>
          <w:kern w:val="0"/>
          <w:sz w:val="32"/>
          <w:szCs w:val="32"/>
        </w:rPr>
      </w:pPr>
      <w:r>
        <w:drawing>
          <wp:inline distT="0" distB="0" distL="114300" distR="114300">
            <wp:extent cx="4208780" cy="2063750"/>
            <wp:effectExtent l="114300" t="114300" r="153670" b="146050"/>
            <wp:docPr id="5" name="图片 5" descr="171894921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18949215984"/>
                    <pic:cNvPicPr>
                      <a:picLocks noChangeAspect="1"/>
                    </pic:cNvPicPr>
                  </pic:nvPicPr>
                  <pic:blipFill>
                    <a:blip r:embed="rId4"/>
                    <a:stretch>
                      <a:fillRect/>
                    </a:stretch>
                  </pic:blipFill>
                  <pic:spPr>
                    <a:xfrm>
                      <a:off x="0" y="0"/>
                      <a:ext cx="4208780" cy="206375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pStyle w:val="14"/>
        <w:ind w:left="-2" w:leftChars="-1" w:firstLine="520"/>
        <w:jc w:val="center"/>
        <w:rPr>
          <w:rFonts w:eastAsia="仿宋"/>
          <w:spacing w:val="-10"/>
          <w:kern w:val="0"/>
          <w:sz w:val="28"/>
          <w:szCs w:val="28"/>
        </w:rPr>
      </w:pPr>
      <w:r>
        <w:rPr>
          <w:rFonts w:eastAsia="仿宋"/>
          <w:spacing w:val="-10"/>
          <w:kern w:val="0"/>
          <w:sz w:val="28"/>
          <w:szCs w:val="28"/>
        </w:rPr>
        <w:t>图1 校内多基地协同联动工程实践平台架构图</w:t>
      </w:r>
    </w:p>
    <w:p>
      <w:pPr>
        <w:pStyle w:val="14"/>
        <w:ind w:firstLine="600"/>
        <w:rPr>
          <w:rFonts w:eastAsia="仿宋"/>
          <w:spacing w:val="-10"/>
          <w:kern w:val="0"/>
          <w:sz w:val="32"/>
          <w:szCs w:val="32"/>
        </w:rPr>
      </w:pPr>
      <w:r>
        <w:rPr>
          <w:rFonts w:hint="eastAsia" w:ascii="宋体" w:hAnsi="宋体" w:cs="宋体"/>
          <w:spacing w:val="-10"/>
          <w:kern w:val="0"/>
          <w:sz w:val="32"/>
          <w:szCs w:val="32"/>
        </w:rPr>
        <w:t>②</w:t>
      </w:r>
      <w:r>
        <w:rPr>
          <w:rFonts w:eastAsia="仿宋"/>
          <w:spacing w:val="-10"/>
          <w:kern w:val="0"/>
          <w:sz w:val="32"/>
          <w:szCs w:val="32"/>
        </w:rPr>
        <w:t>面向关键领域，强化产教协同，校企联建工程师技术中心。</w:t>
      </w:r>
    </w:p>
    <w:p>
      <w:pPr>
        <w:pStyle w:val="14"/>
        <w:ind w:firstLine="600"/>
        <w:rPr>
          <w:rFonts w:eastAsia="仿宋"/>
          <w:spacing w:val="-10"/>
          <w:kern w:val="0"/>
          <w:sz w:val="32"/>
          <w:szCs w:val="32"/>
        </w:rPr>
      </w:pPr>
      <w:r>
        <w:rPr>
          <w:rFonts w:eastAsia="仿宋"/>
          <w:spacing w:val="-10"/>
          <w:kern w:val="0"/>
          <w:sz w:val="32"/>
          <w:szCs w:val="32"/>
        </w:rPr>
        <w:t>依托浙江大学国家卓越工程师学院和合作企业现有工程技术研发、产品设计测试和生产中试平台，共建共享相关优势资源，在合作企业建立一批工程师技术中心及高能级工程技术实践平台。校企联合人才培养和技术攻关团队依托平台开展研究生课题研究、工程创新和实践训练，构建体系化、任务性的联合人才培养和技术攻关模式，促进双方联合培养的研究生科研课题在校企双导师或导师组指导下顺利开展，使工程硕博士在真环境中研究真问题、开展真科研、开拓新视野、产出真成果、获得真本领；组建校企联合攻关团队，其中高校导师为项目经理，企业导师为项目副经理，联合培养的工程硕博士为项目组核心攻关人员，建立校企联合攻关团队，共同拟定优先攻关课题，使联合培养的工程硕博士在技术中心开展基于攻关项目的专业实践和学位论文研究，学生专业实践结束后，在企业及校企导师考核的基础上，由工程师学院按项目或关键领域组织校内外专家对学生进行现场答辩考核，考核结果与毕业前置条件和工程师职称评审挂钩。校企联建工程师技术中心具体机制如图2.</w:t>
      </w:r>
    </w:p>
    <w:p>
      <w:pPr>
        <w:ind w:firstLine="275" w:firstLineChars="131"/>
        <w:jc w:val="center"/>
        <w:rPr>
          <w:rFonts w:eastAsia="仿宋"/>
          <w:spacing w:val="-10"/>
          <w:kern w:val="0"/>
          <w:sz w:val="32"/>
          <w:szCs w:val="32"/>
        </w:rPr>
      </w:pPr>
      <w:r>
        <w:drawing>
          <wp:inline distT="0" distB="0" distL="114300" distR="114300">
            <wp:extent cx="4740910" cy="2322195"/>
            <wp:effectExtent l="133350" t="114300" r="135890" b="154305"/>
            <wp:docPr id="15" name="图片 15" descr="171894966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18949668477"/>
                    <pic:cNvPicPr>
                      <a:picLocks noChangeAspect="1"/>
                    </pic:cNvPicPr>
                  </pic:nvPicPr>
                  <pic:blipFill>
                    <a:blip r:embed="rId5"/>
                    <a:stretch>
                      <a:fillRect/>
                    </a:stretch>
                  </pic:blipFill>
                  <pic:spPr>
                    <a:xfrm>
                      <a:off x="0" y="0"/>
                      <a:ext cx="4740910" cy="232219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pStyle w:val="14"/>
        <w:ind w:firstLine="520"/>
        <w:jc w:val="center"/>
        <w:rPr>
          <w:rFonts w:eastAsia="仿宋"/>
          <w:spacing w:val="-10"/>
          <w:kern w:val="0"/>
          <w:sz w:val="28"/>
          <w:szCs w:val="28"/>
        </w:rPr>
      </w:pPr>
      <w:r>
        <w:rPr>
          <w:rFonts w:eastAsia="仿宋"/>
          <w:spacing w:val="-10"/>
          <w:kern w:val="0"/>
          <w:sz w:val="28"/>
          <w:szCs w:val="28"/>
        </w:rPr>
        <w:t>图2 校企联建工程师技术中心机制</w:t>
      </w:r>
    </w:p>
    <w:p>
      <w:pPr>
        <w:pStyle w:val="14"/>
        <w:ind w:firstLine="600"/>
        <w:rPr>
          <w:rFonts w:eastAsia="仿宋"/>
          <w:spacing w:val="-10"/>
          <w:kern w:val="0"/>
          <w:sz w:val="32"/>
          <w:szCs w:val="32"/>
        </w:rPr>
      </w:pPr>
      <w:r>
        <w:rPr>
          <w:rFonts w:hint="eastAsia" w:ascii="宋体" w:hAnsi="宋体" w:cs="宋体"/>
          <w:spacing w:val="-10"/>
          <w:kern w:val="0"/>
          <w:sz w:val="32"/>
          <w:szCs w:val="32"/>
        </w:rPr>
        <w:t>③</w:t>
      </w:r>
      <w:r>
        <w:rPr>
          <w:rFonts w:eastAsia="仿宋"/>
          <w:spacing w:val="-10"/>
          <w:kern w:val="0"/>
          <w:sz w:val="32"/>
          <w:szCs w:val="32"/>
        </w:rPr>
        <w:t>面向工程开发关键技术环节，建设融会贯通的高阶工程认知与实践课程，开展一站式、全流程工程实践训练</w:t>
      </w:r>
    </w:p>
    <w:p>
      <w:pPr>
        <w:pStyle w:val="14"/>
        <w:ind w:firstLine="600"/>
        <w:rPr>
          <w:rFonts w:eastAsia="仿宋"/>
          <w:spacing w:val="-10"/>
          <w:kern w:val="0"/>
          <w:sz w:val="32"/>
          <w:szCs w:val="32"/>
        </w:rPr>
      </w:pPr>
      <w:r>
        <w:rPr>
          <w:rFonts w:eastAsia="仿宋"/>
          <w:spacing w:val="-10"/>
          <w:kern w:val="0"/>
          <w:sz w:val="32"/>
          <w:szCs w:val="32"/>
        </w:rPr>
        <w:t>针对当前工程硕博士工程创新实践能力短板，精心规划、周密论证，组织多学科骨干教授和行业企业资深专家参与课程设计和同堂授课，共开设实训课程40余门，每年参与课程教学的资深行业企业专家200余人；高水平创建大工程类跨领域通识性实践课程《高阶工程认知与实践》，课程具体架构如图3所示，课程内容包括“工程数字化设计与仿真”“工程样品设计与制造”“工程机械与智能操控”“工程电机与驱动控制”“工业产品综合特性测试”“工业环保与污废碳监测”“工业传感互联与云计算”“工业系统安全”等8个基本模块，以及“低碳电力能源系统”“高端智能机器人”“智能网联新能源车”“工业元宇宙”、“数字化工厂”、“人工智能系统”等若干个综合系统，基本涵盖了工程系统研发必备的高阶工程技能，展示了产业领域的多学科知识融合和系统性技术创新,覆盖了浙江大学国家卓越工程师学院现有主要实训平台和主要工程大类。重点解决当前工程类专业学位研究生知识结构单一、工程意识薄弱、综合实践能力欠缺等问题，与企业实习实践环节互为补充。</w:t>
      </w:r>
    </w:p>
    <w:p>
      <w:pPr>
        <w:ind w:firstLine="275" w:firstLineChars="131"/>
        <w:jc w:val="center"/>
        <w:rPr>
          <w:rFonts w:eastAsia="仿宋"/>
          <w:spacing w:val="-10"/>
          <w:kern w:val="0"/>
          <w:sz w:val="32"/>
          <w:szCs w:val="32"/>
        </w:rPr>
      </w:pPr>
      <w:r>
        <w:drawing>
          <wp:inline distT="0" distB="0" distL="114300" distR="114300">
            <wp:extent cx="4956810" cy="2174875"/>
            <wp:effectExtent l="133350" t="114300" r="148590" b="149225"/>
            <wp:docPr id="19" name="图片 2" descr="171878645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1718786454740"/>
                    <pic:cNvPicPr>
                      <a:picLocks noChangeAspect="1"/>
                    </pic:cNvPicPr>
                  </pic:nvPicPr>
                  <pic:blipFill>
                    <a:blip r:embed="rId6"/>
                    <a:srcRect t="5431"/>
                    <a:stretch>
                      <a:fillRect/>
                    </a:stretch>
                  </pic:blipFill>
                  <pic:spPr>
                    <a:xfrm>
                      <a:off x="0" y="0"/>
                      <a:ext cx="4956810" cy="217487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pStyle w:val="14"/>
        <w:ind w:firstLine="520"/>
        <w:jc w:val="center"/>
        <w:rPr>
          <w:rFonts w:eastAsia="仿宋"/>
          <w:spacing w:val="-10"/>
          <w:kern w:val="0"/>
          <w:sz w:val="28"/>
          <w:szCs w:val="28"/>
        </w:rPr>
      </w:pPr>
      <w:r>
        <w:rPr>
          <w:rFonts w:eastAsia="仿宋"/>
          <w:spacing w:val="-10"/>
          <w:kern w:val="0"/>
          <w:sz w:val="28"/>
          <w:szCs w:val="28"/>
        </w:rPr>
        <w:t>图3 《高阶工程认知与实践》课程架构图</w:t>
      </w:r>
    </w:p>
    <w:p>
      <w:pPr>
        <w:pStyle w:val="14"/>
        <w:ind w:firstLine="600"/>
        <w:rPr>
          <w:rFonts w:eastAsia="仿宋"/>
          <w:spacing w:val="-10"/>
          <w:kern w:val="0"/>
          <w:sz w:val="32"/>
          <w:szCs w:val="32"/>
        </w:rPr>
      </w:pPr>
      <w:r>
        <w:rPr>
          <w:rFonts w:eastAsia="仿宋"/>
          <w:spacing w:val="-10"/>
          <w:kern w:val="0"/>
          <w:sz w:val="32"/>
          <w:szCs w:val="32"/>
        </w:rPr>
        <w:t>（2）成果的创新点。</w:t>
      </w:r>
    </w:p>
    <w:p>
      <w:pPr>
        <w:pStyle w:val="14"/>
        <w:ind w:firstLine="600"/>
        <w:rPr>
          <w:rFonts w:eastAsia="仿宋"/>
          <w:spacing w:val="-10"/>
          <w:kern w:val="0"/>
          <w:sz w:val="32"/>
          <w:szCs w:val="32"/>
        </w:rPr>
      </w:pPr>
      <w:r>
        <w:rPr>
          <w:rFonts w:hint="eastAsia" w:ascii="宋体" w:hAnsi="宋体" w:cs="宋体"/>
          <w:spacing w:val="-10"/>
          <w:kern w:val="0"/>
          <w:sz w:val="32"/>
          <w:szCs w:val="32"/>
        </w:rPr>
        <w:t>①</w:t>
      </w:r>
      <w:r>
        <w:rPr>
          <w:rFonts w:eastAsia="仿宋"/>
          <w:spacing w:val="-10"/>
          <w:kern w:val="0"/>
          <w:sz w:val="32"/>
          <w:szCs w:val="32"/>
        </w:rPr>
        <w:t>建立了全流程、模块化和递进式的工程实践教学体系</w:t>
      </w:r>
    </w:p>
    <w:p>
      <w:pPr>
        <w:pStyle w:val="14"/>
        <w:ind w:left="-2" w:leftChars="-1" w:firstLine="600"/>
        <w:rPr>
          <w:rFonts w:eastAsia="仿宋"/>
          <w:spacing w:val="-10"/>
          <w:kern w:val="0"/>
          <w:sz w:val="32"/>
          <w:szCs w:val="32"/>
        </w:rPr>
      </w:pPr>
      <w:r>
        <w:rPr>
          <w:rFonts w:eastAsia="仿宋"/>
          <w:spacing w:val="-10"/>
          <w:kern w:val="0"/>
          <w:sz w:val="32"/>
          <w:szCs w:val="32"/>
        </w:rPr>
        <w:t>建立集工程设计、仿真、制造、测试、分析、集成、应用于一体的高阶工程实践课程体系，为学生工程创新构建所需的工具链、知识链和资源链，使其掌握必要的高阶工程综合技能，强化培养其质量、效率、标准、环保、安全等工程意识；同时通过多学科、综合性、系统性的工程创新系统开发实践，促进学生对复杂工程系统及相关交叉专业领域的综合认知，了解系统集成、协同管理和创新应用的基本方法，培养其系统性地运用多学科综合知识发现并解决问题的工程创新能力。</w:t>
      </w:r>
    </w:p>
    <w:p>
      <w:pPr>
        <w:pStyle w:val="14"/>
        <w:ind w:firstLine="600"/>
        <w:rPr>
          <w:rFonts w:eastAsia="仿宋"/>
          <w:spacing w:val="-10"/>
          <w:kern w:val="0"/>
          <w:sz w:val="32"/>
          <w:szCs w:val="32"/>
        </w:rPr>
      </w:pPr>
      <w:r>
        <w:rPr>
          <w:rFonts w:hint="eastAsia" w:ascii="宋体" w:hAnsi="宋体" w:cs="宋体"/>
          <w:spacing w:val="-10"/>
          <w:kern w:val="0"/>
          <w:sz w:val="32"/>
          <w:szCs w:val="32"/>
        </w:rPr>
        <w:t>②</w:t>
      </w:r>
      <w:r>
        <w:rPr>
          <w:rFonts w:eastAsia="仿宋"/>
          <w:spacing w:val="-10"/>
          <w:kern w:val="0"/>
          <w:sz w:val="32"/>
          <w:szCs w:val="32"/>
        </w:rPr>
        <w:t>打造了校内类企业级别多学科交叉工程实践教学平台</w:t>
      </w:r>
    </w:p>
    <w:p>
      <w:pPr>
        <w:pStyle w:val="14"/>
        <w:ind w:left="-2" w:leftChars="-1" w:firstLine="600"/>
        <w:rPr>
          <w:rFonts w:eastAsia="仿宋"/>
          <w:spacing w:val="-10"/>
          <w:kern w:val="0"/>
          <w:sz w:val="32"/>
          <w:szCs w:val="32"/>
        </w:rPr>
      </w:pPr>
      <w:r>
        <w:rPr>
          <w:rFonts w:eastAsia="仿宋"/>
          <w:spacing w:val="-10"/>
          <w:kern w:val="0"/>
          <w:sz w:val="32"/>
          <w:szCs w:val="32"/>
        </w:rPr>
        <w:t>通过升级整合校内现有工程创新实训平台、跨域接入多基地科研创新平台、打通融合企业技术开发平台和真实应用场景等方式，整合延伸学校、企业、科研机构的育人功能，建立类企业创新实训环境，使工程硕博士研究生在真环境中开展真实践，研究真问题、产出真成果、获得真本领。</w:t>
      </w:r>
    </w:p>
    <w:p>
      <w:pPr>
        <w:pStyle w:val="14"/>
        <w:ind w:firstLine="600"/>
        <w:rPr>
          <w:rFonts w:eastAsia="仿宋"/>
          <w:spacing w:val="-10"/>
          <w:kern w:val="0"/>
          <w:sz w:val="32"/>
          <w:szCs w:val="32"/>
        </w:rPr>
      </w:pPr>
      <w:r>
        <w:rPr>
          <w:rFonts w:hint="eastAsia" w:ascii="宋体" w:hAnsi="宋体" w:cs="宋体"/>
          <w:spacing w:val="-10"/>
          <w:kern w:val="0"/>
          <w:sz w:val="32"/>
          <w:szCs w:val="32"/>
        </w:rPr>
        <w:t>③</w:t>
      </w:r>
      <w:r>
        <w:rPr>
          <w:rFonts w:eastAsia="仿宋"/>
          <w:spacing w:val="-10"/>
          <w:kern w:val="0"/>
          <w:sz w:val="32"/>
          <w:szCs w:val="32"/>
        </w:rPr>
        <w:t>创新了工程师技术中心多方合作共建机制</w:t>
      </w:r>
    </w:p>
    <w:p>
      <w:pPr>
        <w:pStyle w:val="14"/>
        <w:ind w:left="-2" w:leftChars="-1" w:firstLine="600"/>
        <w:rPr>
          <w:rFonts w:eastAsia="仿宋"/>
          <w:spacing w:val="-10"/>
          <w:kern w:val="0"/>
          <w:sz w:val="32"/>
          <w:szCs w:val="32"/>
        </w:rPr>
      </w:pPr>
      <w:r>
        <w:rPr>
          <w:rFonts w:eastAsia="仿宋"/>
          <w:spacing w:val="-10"/>
          <w:kern w:val="0"/>
          <w:sz w:val="32"/>
          <w:szCs w:val="32"/>
        </w:rPr>
        <w:t>构建了可持续、可扩展、可演进的高能级工程师技术实践平台，实现了虚实结合、时空无阻、研学互促、校企联动的创新实践训练。通过“顶层设计式”和“揭榜挂帅式”的科研项目合作模式，校企共同选题、共享成果，推动关键核心技术攻关与卓越工程师培养的深度融合。校企导师共同指导研究生课题研究和工程实践训练，形成双向赋能机制</w:t>
      </w:r>
    </w:p>
    <w:p>
      <w:pPr>
        <w:pStyle w:val="14"/>
        <w:ind w:firstLine="600"/>
        <w:rPr>
          <w:rFonts w:eastAsia="仿宋"/>
          <w:spacing w:val="-10"/>
          <w:kern w:val="0"/>
          <w:sz w:val="32"/>
          <w:szCs w:val="32"/>
        </w:rPr>
      </w:pPr>
      <w:r>
        <w:rPr>
          <w:rFonts w:eastAsia="仿宋"/>
          <w:spacing w:val="-10"/>
          <w:kern w:val="0"/>
          <w:sz w:val="32"/>
          <w:szCs w:val="32"/>
        </w:rPr>
        <w:t>（3）推广应用与贡献。</w:t>
      </w:r>
    </w:p>
    <w:p>
      <w:pPr>
        <w:pStyle w:val="14"/>
        <w:ind w:left="-2" w:leftChars="-1" w:firstLine="600"/>
        <w:rPr>
          <w:rFonts w:eastAsia="仿宋"/>
          <w:spacing w:val="-10"/>
          <w:kern w:val="0"/>
          <w:sz w:val="32"/>
          <w:szCs w:val="32"/>
        </w:rPr>
      </w:pPr>
      <w:r>
        <w:rPr>
          <w:rFonts w:eastAsia="仿宋"/>
          <w:spacing w:val="-10"/>
          <w:kern w:val="0"/>
          <w:sz w:val="32"/>
          <w:szCs w:val="32"/>
        </w:rPr>
        <w:t>本成果已在浙江大学国家卓越工程师学院集中建成门类齐全的8大工程实训平台，依托平台开设工程实践课程40余门，并按8个专项实践模块和若干个综合实践系统，打造以“设计→制造→测试→分析→集成→协同”为核心的工程技术训练体系，可为智能汽车、物联网、机器人、智慧交通等领域人才培养提供支撑。在《学位与研究生教育》等期刊上发表实践体系建设相关理论文章，培养模式受教育部肯定，多次在教育部卓越工程师培养推进会上介绍经验，被中央电视台、中国教育电视台、《人民日报》等媒体宣传报告。为工程专业学位研究生培养改革提供了先行样板，清华大学、北京航空航天大学、东南大学、西安交通大学、等高校专程来访调研，两年内来访调研高校及企业达到100余次。</w:t>
      </w:r>
    </w:p>
    <w:p>
      <w:pPr>
        <w:pStyle w:val="14"/>
        <w:ind w:left="-2" w:leftChars="-1" w:firstLine="600"/>
        <w:rPr>
          <w:rFonts w:eastAsia="仿宋"/>
          <w:spacing w:val="-10"/>
          <w:kern w:val="0"/>
          <w:sz w:val="32"/>
          <w:szCs w:val="32"/>
        </w:rPr>
      </w:pPr>
      <w:r>
        <w:rPr>
          <w:rFonts w:eastAsia="仿宋"/>
          <w:spacing w:val="-10"/>
          <w:kern w:val="0"/>
          <w:sz w:val="32"/>
          <w:szCs w:val="32"/>
        </w:rPr>
        <w:t>本成果组织浙江大学校内相关专业学院优势科技团队力量，推进与多家科技领军企业的技术对接合作，开展高水平的科研合作、技术服务、校企导师联合指导和实践教学，充分发挥企业的积极性和主动性，推动校企联合开展平台共建、实践训练和人才培养。积极开展面向工程技术应用的研究生实践创新训练，培养学生“解决问题真本领”。依托建设的工程师技术中心以及与大型央企、龙头企业、国防军工单位共建的60余家研究生培养基地或联合研发中心，协同开展面向产业工程应用的联合技术攻关与研究生实践创新训练。由战略科学家主导的20多个项目制培养团队，与行业企业专家紧密合作，面向真问题开展真协同，融人才培养于复杂工程系统核心技术攻关与创新实践，有效补齐研究生工程知识和实践能力短板。近两年，研究生获省级专业实践优秀成果奖21项，获“挑战杯”“互联网+”等国家级金奖1项、省金奖等各类奖项30余项。开展创新实训后，2023年毕业生635人，40%以上进入央企、国企、世界五百强等单位就业，206人毕业同时获得工程师职称证书。</w:t>
      </w:r>
    </w:p>
    <w:p>
      <w:pPr>
        <w:pStyle w:val="14"/>
        <w:ind w:left="-2" w:leftChars="-1" w:firstLine="600"/>
        <w:rPr>
          <w:rFonts w:eastAsia="仿宋"/>
          <w:spacing w:val="-10"/>
          <w:kern w:val="0"/>
          <w:sz w:val="32"/>
          <w:szCs w:val="32"/>
        </w:rPr>
      </w:pPr>
      <w:r>
        <w:rPr>
          <w:rFonts w:eastAsia="仿宋"/>
          <w:spacing w:val="-10"/>
          <w:kern w:val="0"/>
          <w:sz w:val="32"/>
          <w:szCs w:val="32"/>
        </w:rPr>
        <w:t>接下来，申报单位将持续深化产教融合机制，力争与央企、科技领军企业等新建若干个有代表性的工程师技术中心。持续深化《高阶工程认知与实践》课程改革，优化“8+X”实训教学模式围绕绿色制造、人工智能等关键领域，新建若干工程实践系统。打造理虚实一体化教学平台和新形态教材，开展仪器共享、远程控制等虚拟实验，逐步形成虚拟仿真实践教学体系。同时，进一步凝练教学模式，针对性编写高质量教材和资料，为师生提供更加丰富的教学资源，提高学生的自主学习能力，促进教学效果的提升。与其他兄弟学校、机构及企业等进行合作交流，共同探讨教学方法和策略，共享教学资源，进一步提高教学成果的水平和影响力。同时，制定科学合理的评价标准和方法，对教学成果进行评价和反馈，及时发现问题并采取相应的措施进行改进和完善。</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M2RkNGI3ZGRiNTliZWZhZmNmZTc0MWZkYTBlNDQifQ=="/>
  </w:docVars>
  <w:rsids>
    <w:rsidRoot w:val="00A51F7B"/>
    <w:rsid w:val="0015128C"/>
    <w:rsid w:val="001B3B35"/>
    <w:rsid w:val="00244ECC"/>
    <w:rsid w:val="002B1FCF"/>
    <w:rsid w:val="002D6B0B"/>
    <w:rsid w:val="002D6EBB"/>
    <w:rsid w:val="004D34CE"/>
    <w:rsid w:val="00503AB3"/>
    <w:rsid w:val="00512460"/>
    <w:rsid w:val="005936EF"/>
    <w:rsid w:val="005D414A"/>
    <w:rsid w:val="00606DB1"/>
    <w:rsid w:val="0061499F"/>
    <w:rsid w:val="00670680"/>
    <w:rsid w:val="00673AD0"/>
    <w:rsid w:val="00674F3E"/>
    <w:rsid w:val="00683A34"/>
    <w:rsid w:val="00693FBF"/>
    <w:rsid w:val="006C2F14"/>
    <w:rsid w:val="006D7D20"/>
    <w:rsid w:val="006F5C83"/>
    <w:rsid w:val="00810EAD"/>
    <w:rsid w:val="00845F4E"/>
    <w:rsid w:val="008919C9"/>
    <w:rsid w:val="00892065"/>
    <w:rsid w:val="008C39D7"/>
    <w:rsid w:val="00A51F7B"/>
    <w:rsid w:val="00B06524"/>
    <w:rsid w:val="00B85390"/>
    <w:rsid w:val="00C06274"/>
    <w:rsid w:val="00C16116"/>
    <w:rsid w:val="00C33875"/>
    <w:rsid w:val="00D7570D"/>
    <w:rsid w:val="00D87A73"/>
    <w:rsid w:val="00D968DB"/>
    <w:rsid w:val="00DD6F8E"/>
    <w:rsid w:val="00F05C90"/>
    <w:rsid w:val="00F1672A"/>
    <w:rsid w:val="00F63F85"/>
    <w:rsid w:val="00F851C8"/>
    <w:rsid w:val="00FD707A"/>
    <w:rsid w:val="025D6B3C"/>
    <w:rsid w:val="04315217"/>
    <w:rsid w:val="04ED4BEA"/>
    <w:rsid w:val="05D1012B"/>
    <w:rsid w:val="05E64A5A"/>
    <w:rsid w:val="05F16AF6"/>
    <w:rsid w:val="06CB3C0E"/>
    <w:rsid w:val="09E0733A"/>
    <w:rsid w:val="0A662823"/>
    <w:rsid w:val="0A921E50"/>
    <w:rsid w:val="0C75511E"/>
    <w:rsid w:val="0C8E2713"/>
    <w:rsid w:val="102C6720"/>
    <w:rsid w:val="103001F2"/>
    <w:rsid w:val="109322EA"/>
    <w:rsid w:val="10981985"/>
    <w:rsid w:val="11D55397"/>
    <w:rsid w:val="11DD5372"/>
    <w:rsid w:val="155B6F0B"/>
    <w:rsid w:val="18C33745"/>
    <w:rsid w:val="193E101D"/>
    <w:rsid w:val="1A3362D2"/>
    <w:rsid w:val="1A7A42D7"/>
    <w:rsid w:val="1AFC4CE9"/>
    <w:rsid w:val="1AFE6CB6"/>
    <w:rsid w:val="1C9433C5"/>
    <w:rsid w:val="1E2F362A"/>
    <w:rsid w:val="1EDE43F6"/>
    <w:rsid w:val="1EEE2583"/>
    <w:rsid w:val="1F194C3B"/>
    <w:rsid w:val="1FEE594A"/>
    <w:rsid w:val="233139A1"/>
    <w:rsid w:val="2382155F"/>
    <w:rsid w:val="23B1063E"/>
    <w:rsid w:val="24082954"/>
    <w:rsid w:val="24267C6A"/>
    <w:rsid w:val="25302162"/>
    <w:rsid w:val="261A5EA3"/>
    <w:rsid w:val="26AD77E2"/>
    <w:rsid w:val="2829167F"/>
    <w:rsid w:val="28514337"/>
    <w:rsid w:val="29303496"/>
    <w:rsid w:val="2AC84BEB"/>
    <w:rsid w:val="2B163BA8"/>
    <w:rsid w:val="2C02412C"/>
    <w:rsid w:val="2EF57F78"/>
    <w:rsid w:val="2F340AA1"/>
    <w:rsid w:val="2FEE50F3"/>
    <w:rsid w:val="32A970B0"/>
    <w:rsid w:val="33010C9A"/>
    <w:rsid w:val="33E27FB5"/>
    <w:rsid w:val="350E3B42"/>
    <w:rsid w:val="37A83DDA"/>
    <w:rsid w:val="38110F1F"/>
    <w:rsid w:val="3A974782"/>
    <w:rsid w:val="3ABF2A87"/>
    <w:rsid w:val="3AD66EB0"/>
    <w:rsid w:val="3D872571"/>
    <w:rsid w:val="3F2B015C"/>
    <w:rsid w:val="40736F4F"/>
    <w:rsid w:val="409E587C"/>
    <w:rsid w:val="41E27A7C"/>
    <w:rsid w:val="46616D51"/>
    <w:rsid w:val="47C63E08"/>
    <w:rsid w:val="48452CF3"/>
    <w:rsid w:val="48AC1250"/>
    <w:rsid w:val="49D071C0"/>
    <w:rsid w:val="4ACB74F7"/>
    <w:rsid w:val="4B7C7600"/>
    <w:rsid w:val="4C2F4672"/>
    <w:rsid w:val="4DCF2582"/>
    <w:rsid w:val="4E411923"/>
    <w:rsid w:val="4E7D41AC"/>
    <w:rsid w:val="4F6512F6"/>
    <w:rsid w:val="508B3E41"/>
    <w:rsid w:val="51124F7E"/>
    <w:rsid w:val="51FD7CE3"/>
    <w:rsid w:val="524B7805"/>
    <w:rsid w:val="543640C4"/>
    <w:rsid w:val="571D3782"/>
    <w:rsid w:val="58B7000A"/>
    <w:rsid w:val="59BB12F3"/>
    <w:rsid w:val="59EA4662"/>
    <w:rsid w:val="5A845B89"/>
    <w:rsid w:val="5B0A0374"/>
    <w:rsid w:val="5B3475AF"/>
    <w:rsid w:val="5B4B709A"/>
    <w:rsid w:val="5C614608"/>
    <w:rsid w:val="5CD252D1"/>
    <w:rsid w:val="5CE957D4"/>
    <w:rsid w:val="5D362961"/>
    <w:rsid w:val="5E015742"/>
    <w:rsid w:val="5F57051C"/>
    <w:rsid w:val="5F830B05"/>
    <w:rsid w:val="60B74180"/>
    <w:rsid w:val="60D4713E"/>
    <w:rsid w:val="657A6506"/>
    <w:rsid w:val="66140709"/>
    <w:rsid w:val="66216982"/>
    <w:rsid w:val="666C1B19"/>
    <w:rsid w:val="667367C1"/>
    <w:rsid w:val="669A69A7"/>
    <w:rsid w:val="68112A26"/>
    <w:rsid w:val="68AF4719"/>
    <w:rsid w:val="695F613F"/>
    <w:rsid w:val="6A3754D9"/>
    <w:rsid w:val="6E9436D4"/>
    <w:rsid w:val="703723AC"/>
    <w:rsid w:val="73C234CA"/>
    <w:rsid w:val="75287D2D"/>
    <w:rsid w:val="77CA7587"/>
    <w:rsid w:val="77D71596"/>
    <w:rsid w:val="7847671C"/>
    <w:rsid w:val="795A5FDB"/>
    <w:rsid w:val="79A84B20"/>
    <w:rsid w:val="79B147CB"/>
    <w:rsid w:val="7A0F3269"/>
    <w:rsid w:val="7A2C78CF"/>
    <w:rsid w:val="7C8B4204"/>
    <w:rsid w:val="7CE3278B"/>
    <w:rsid w:val="7D60202E"/>
    <w:rsid w:val="7DFA2C61"/>
    <w:rsid w:val="7E047B0F"/>
    <w:rsid w:val="7E3430F2"/>
    <w:rsid w:val="7F25709F"/>
    <w:rsid w:val="7F7060A2"/>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0"/>
    <w:rPr>
      <w:b/>
      <w:bCs/>
    </w:rPr>
  </w:style>
  <w:style w:type="character" w:styleId="12">
    <w:name w:val="Emphasis"/>
    <w:basedOn w:val="10"/>
    <w:qFormat/>
    <w:uiPriority w:val="20"/>
    <w:rPr>
      <w:i/>
    </w:rPr>
  </w:style>
  <w:style w:type="character" w:styleId="13">
    <w:name w:val="Hyperlink"/>
    <w:basedOn w:val="10"/>
    <w:unhideWhenUsed/>
    <w:qFormat/>
    <w:uiPriority w:val="99"/>
    <w:rPr>
      <w:color w:val="0000FF"/>
      <w:u w:val="single"/>
    </w:rPr>
  </w:style>
  <w:style w:type="paragraph" w:styleId="14">
    <w:name w:val="List Paragraph"/>
    <w:basedOn w:val="1"/>
    <w:qFormat/>
    <w:uiPriority w:val="0"/>
    <w:pPr>
      <w:ind w:firstLine="420" w:firstLineChars="200"/>
    </w:pPr>
  </w:style>
  <w:style w:type="character" w:customStyle="1" w:styleId="15">
    <w:name w:val="页眉 字符"/>
    <w:basedOn w:val="10"/>
    <w:link w:val="6"/>
    <w:qFormat/>
    <w:uiPriority w:val="99"/>
    <w:rPr>
      <w:rFonts w:ascii="Times New Roman" w:hAnsi="Times New Roman" w:eastAsia="宋体" w:cs="Times New Roman"/>
      <w:sz w:val="18"/>
      <w:szCs w:val="18"/>
    </w:rPr>
  </w:style>
  <w:style w:type="character" w:customStyle="1" w:styleId="16">
    <w:name w:val="页脚 字符"/>
    <w:basedOn w:val="10"/>
    <w:link w:val="5"/>
    <w:qFormat/>
    <w:uiPriority w:val="99"/>
    <w:rPr>
      <w:rFonts w:ascii="Times New Roman" w:hAnsi="Times New Roman" w:eastAsia="宋体" w:cs="Times New Roman"/>
      <w:sz w:val="18"/>
      <w:szCs w:val="18"/>
    </w:rPr>
  </w:style>
  <w:style w:type="character" w:customStyle="1" w:styleId="17">
    <w:name w:val="批注框文本 字符"/>
    <w:basedOn w:val="10"/>
    <w:link w:val="4"/>
    <w:semiHidden/>
    <w:qFormat/>
    <w:uiPriority w:val="99"/>
    <w:rPr>
      <w:rFonts w:ascii="Times New Roman" w:hAnsi="Times New Roman" w:eastAsia="宋体" w:cs="Times New Roman"/>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font11"/>
    <w:basedOn w:val="10"/>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4706</Words>
  <Characters>4760</Characters>
  <Lines>114</Lines>
  <Paragraphs>32</Paragraphs>
  <TotalTime>9</TotalTime>
  <ScaleCrop>false</ScaleCrop>
  <LinksUpToDate>false</LinksUpToDate>
  <CharactersWithSpaces>4778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2017-02-23T06:04:00Z</dcterms:created>
  <dc:creator>HP</dc:creator>
  <cp:lastModifiedBy>Wei.B</cp:lastModifiedBy>
  <cp:lastPrinted>2017-03-01T00:38:00Z</cp:lastPrinted>
  <dcterms:modified xsi:type="dcterms:W3CDTF">2024-06-24T02:58:33Z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E88CE89BAFB6437B9D26303A9DF3623E</vt:lpwstr>
  </property>
</Properties>
</file>