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Hlk169877151"/>
      <w:bookmarkEnd w:id="0"/>
      <w:r>
        <w:rPr>
          <w:rFonts w:hint="eastAsia" w:asciiTheme="minorEastAsia" w:hAnsiTheme="minorEastAsia" w:eastAsiaTheme="minorEastAsia"/>
          <w:b/>
          <w:sz w:val="28"/>
        </w:rPr>
        <w:t>申请编号：</w:t>
      </w:r>
    </w:p>
    <w:p>
      <w:pPr>
        <w:spacing w:line="600" w:lineRule="exact"/>
        <w:ind w:firstLine="442" w:firstLineChars="10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ind w:firstLine="400" w:firstLineChars="100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kern w:val="0"/>
          <w:sz w:val="40"/>
          <w:szCs w:val="40"/>
        </w:rPr>
        <w:t>浙江省研究生教育学会</w:t>
      </w:r>
    </w:p>
    <w:p>
      <w:pPr>
        <w:spacing w:line="600" w:lineRule="exact"/>
        <w:ind w:firstLine="290" w:firstLineChars="100"/>
        <w:jc w:val="center"/>
        <w:rPr>
          <w:rFonts w:asciiTheme="minorEastAsia" w:hAnsiTheme="minorEastAsia" w:eastAsiaTheme="minorEastAsia"/>
          <w:sz w:val="29"/>
          <w:szCs w:val="29"/>
        </w:rPr>
      </w:pPr>
    </w:p>
    <w:p>
      <w:pPr>
        <w:spacing w:line="600" w:lineRule="exact"/>
        <w:ind w:firstLine="520" w:firstLineChars="100"/>
        <w:jc w:val="center"/>
        <w:rPr>
          <w:rFonts w:asciiTheme="minorEastAsia" w:hAnsiTheme="minorEastAsia" w:eastAsiaTheme="minorEastAsia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/>
          <w:kern w:val="0"/>
          <w:sz w:val="52"/>
          <w:szCs w:val="52"/>
        </w:rPr>
        <w:t>教育成果奖申请书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□教育研究类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√教育实践类</w:t>
      </w:r>
    </w:p>
    <w:p>
      <w:pPr>
        <w:spacing w:line="600" w:lineRule="exact"/>
        <w:ind w:firstLine="3072" w:firstLineChars="850"/>
        <w:rPr>
          <w:rFonts w:asciiTheme="minorEastAsia" w:hAnsiTheme="minorEastAsia" w:eastAsiaTheme="minorEastAsia"/>
          <w:b/>
          <w:sz w:val="36"/>
          <w:szCs w:val="36"/>
        </w:rPr>
      </w:pP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b/>
          <w:kern w:val="0"/>
          <w:sz w:val="29"/>
          <w:szCs w:val="29"/>
        </w:rPr>
        <w:t>成果名称：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学科融汇、产教融合、全程贯通的卓越工程师</w:t>
      </w:r>
    </w:p>
    <w:p>
      <w:pPr>
        <w:spacing w:line="800" w:lineRule="exact"/>
        <w:ind w:left="2100" w:firstLine="420"/>
        <w:rPr>
          <w:rFonts w:asciiTheme="minorEastAsia" w:hAnsiTheme="minorEastAsia" w:eastAsia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高阶工程创新实训体系构建与实践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b/>
          <w:kern w:val="0"/>
          <w:sz w:val="29"/>
          <w:szCs w:val="29"/>
        </w:rPr>
        <w:t>成果完成人：</w:t>
      </w:r>
      <w:r>
        <w:rPr>
          <w:rFonts w:asciiTheme="minorEastAsia" w:hAnsiTheme="minorEastAsia" w:eastAsiaTheme="minorEastAsia"/>
          <w:b/>
          <w:kern w:val="0"/>
          <w:sz w:val="29"/>
          <w:szCs w:val="29"/>
        </w:rPr>
        <w:tab/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包刚、薄拯、张朝阳、魏兵、沈哲</w:t>
      </w:r>
    </w:p>
    <w:p>
      <w:pPr>
        <w:spacing w:line="800" w:lineRule="exact"/>
        <w:ind w:left="1863"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金盛、喻嘉乐、朱辰、陈金飞、罗殷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b/>
          <w:kern w:val="0"/>
          <w:sz w:val="29"/>
          <w:szCs w:val="29"/>
        </w:rPr>
        <w:t>成果完成单位（盖章）：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浙江大学工程师学院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b/>
          <w:kern w:val="0"/>
          <w:sz w:val="29"/>
          <w:szCs w:val="29"/>
        </w:rPr>
        <w:t>成果起止时间：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>2022年6月-2024年6月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kern w:val="0"/>
          <w:sz w:val="29"/>
          <w:szCs w:val="29"/>
        </w:rPr>
      </w:pPr>
      <w:r>
        <w:rPr>
          <w:rFonts w:hint="eastAsia" w:asciiTheme="minorEastAsia" w:hAnsiTheme="minorEastAsia" w:eastAsiaTheme="minorEastAsia"/>
          <w:b/>
          <w:kern w:val="0"/>
          <w:sz w:val="29"/>
          <w:szCs w:val="29"/>
        </w:rPr>
        <w:t>申请时间：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 xml:space="preserve">  </w:t>
      </w:r>
      <w:r>
        <w:rPr>
          <w:rFonts w:asciiTheme="minorEastAsia" w:hAnsiTheme="minorEastAsia" w:eastAsiaTheme="minorEastAsia"/>
          <w:kern w:val="0"/>
          <w:sz w:val="29"/>
          <w:szCs w:val="29"/>
        </w:rPr>
        <w:t xml:space="preserve">        </w:t>
      </w:r>
      <w:r>
        <w:rPr>
          <w:rFonts w:hint="eastAsia" w:asciiTheme="minorEastAsia" w:hAnsiTheme="minorEastAsia" w:eastAsiaTheme="minorEastAsia"/>
          <w:kern w:val="0"/>
          <w:sz w:val="29"/>
          <w:szCs w:val="29"/>
        </w:rPr>
        <w:t xml:space="preserve"> 2024年6月20日</w:t>
      </w:r>
    </w:p>
    <w:p>
      <w:pPr>
        <w:spacing w:line="800" w:lineRule="exact"/>
        <w:ind w:firstLine="1077"/>
        <w:rPr>
          <w:rFonts w:asciiTheme="minorEastAsia" w:hAnsiTheme="minorEastAsia" w:eastAsiaTheme="minorEastAsia"/>
          <w:b/>
          <w:sz w:val="28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kern w:val="0"/>
          <w:sz w:val="30"/>
          <w:szCs w:val="30"/>
        </w:rPr>
        <w:t>浙江省研究生教育学会制</w:t>
      </w:r>
    </w:p>
    <w:p>
      <w:pPr>
        <w:spacing w:line="600" w:lineRule="exact"/>
        <w:jc w:val="center"/>
        <w:rPr>
          <w:rFonts w:asciiTheme="minorEastAsia" w:hAnsiTheme="minorEastAsia" w:eastAsiaTheme="minorEastAsia"/>
          <w:kern w:val="0"/>
          <w:sz w:val="30"/>
          <w:szCs w:val="30"/>
        </w:rPr>
      </w:pPr>
    </w:p>
    <w:p>
      <w:pPr>
        <w:pStyle w:val="14"/>
        <w:ind w:left="930" w:firstLine="0" w:firstLineChars="0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jc w:val="center"/>
        <w:rPr>
          <w:rFonts w:asciiTheme="minorEastAsia" w:hAnsiTheme="minorEastAsia" w:eastAsiaTheme="minorEastAsia"/>
          <w:b/>
          <w:sz w:val="36"/>
        </w:rPr>
      </w:pPr>
      <w:r>
        <w:rPr>
          <w:rFonts w:hint="eastAsia" w:asciiTheme="minorEastAsia" w:hAnsiTheme="minorEastAsia" w:eastAsiaTheme="minorEastAsia"/>
          <w:b/>
          <w:sz w:val="36"/>
        </w:rPr>
        <w:t>填 表 说 明</w:t>
      </w:r>
    </w:p>
    <w:p>
      <w:pPr>
        <w:pStyle w:val="14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14"/>
        <w:ind w:left="93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14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．申请编号由学会统一填写；</w:t>
      </w:r>
    </w:p>
    <w:p>
      <w:pPr>
        <w:pStyle w:val="14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2．成果名称：字数（含符号）不超过35个汉字；</w:t>
      </w:r>
    </w:p>
    <w:p>
      <w:pPr>
        <w:pStyle w:val="14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3．成果曾获奖情况不包含商业性奖励；</w:t>
      </w:r>
    </w:p>
    <w:p>
      <w:pPr>
        <w:pStyle w:val="14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4．成果起止时间指研究时间（教育研究类）、实践检验时间（教育实践类）；</w:t>
      </w:r>
    </w:p>
    <w:p>
      <w:pPr>
        <w:pStyle w:val="14"/>
        <w:spacing w:line="360" w:lineRule="auto"/>
        <w:ind w:left="93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5．申请书用A4双面打印，正文内容应不小于四号字。需签字、盖章处打印或复印无效。</w:t>
      </w:r>
    </w:p>
    <w:p>
      <w:pPr>
        <w:pStyle w:val="14"/>
        <w:ind w:firstLine="0" w:firstLineChars="0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asciiTheme="minorEastAsia" w:hAnsiTheme="minorEastAsia" w:eastAsiaTheme="minorEastAsia"/>
          <w:b/>
          <w:sz w:val="36"/>
        </w:rPr>
        <w:br w:type="page"/>
      </w:r>
      <w:r>
        <w:rPr>
          <w:rFonts w:hint="eastAsia" w:asciiTheme="minorEastAsia" w:hAnsiTheme="minorEastAsia" w:eastAsiaTheme="minorEastAsia"/>
          <w:b/>
          <w:sz w:val="36"/>
        </w:rPr>
        <w:t>一、</w:t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成果简介</w:t>
      </w:r>
    </w:p>
    <w:p>
      <w:pPr>
        <w:pStyle w:val="14"/>
        <w:ind w:left="-2" w:leftChars="-1" w:firstLine="640"/>
        <w:rPr>
          <w:rFonts w:eastAsia="仿宋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</w:rPr>
        <w:t>在新质生产力快速崛起、国际贸易与技术“脱钩断链”日趋严重的背景下，卓越工程师作为国家战略人才力量，肩负着推动</w:t>
      </w:r>
      <w:r>
        <w:rPr>
          <w:rFonts w:eastAsia="仿宋"/>
          <w:spacing w:val="-10"/>
          <w:kern w:val="0"/>
          <w:sz w:val="32"/>
          <w:szCs w:val="32"/>
        </w:rPr>
        <w:t>我国高水平科技自立自强，实现中国式现代化的重要任务。</w:t>
      </w:r>
      <w:r>
        <w:rPr>
          <w:rFonts w:eastAsia="仿宋"/>
          <w:sz w:val="32"/>
          <w:szCs w:val="32"/>
          <w:shd w:val="clear" w:color="auto" w:fill="FFFFFF"/>
        </w:rPr>
        <w:t>发挥高水平研究型大学和科技领军企业的优势力量，构建符合卓越工程师培养规律的创新实训体系，不断提升卓越工程师培养质量，是我国工程教育所面临的一个重大课题。</w:t>
      </w:r>
    </w:p>
    <w:p>
      <w:pPr>
        <w:pStyle w:val="14"/>
        <w:ind w:left="-2" w:leftChars="-1"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1.主要解决的研究生教育实践问题</w:t>
      </w:r>
    </w:p>
    <w:p>
      <w:pPr>
        <w:pStyle w:val="14"/>
        <w:ind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（1）工程硕博士实践教学体系不够完善。工程实践平台建设滞后、实践师资队伍不足、学科交叉融合程度不够、实践教学内容偏少。</w:t>
      </w:r>
    </w:p>
    <w:p>
      <w:pPr>
        <w:pStyle w:val="14"/>
        <w:ind w:left="-2" w:leftChars="-1"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（2）实践平台建设缺乏产业赋能。受企业本身生产经营模式、内部科技研发体系惯性等因素影响，校企合作缺乏可持续性，工程硕博士培养与产业发展脱节。</w:t>
      </w:r>
    </w:p>
    <w:p>
      <w:pPr>
        <w:pStyle w:val="14"/>
        <w:ind w:left="-2" w:leftChars="-1"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（3）解决复杂工程问题能力不足。因缺乏工程项目开发实践经验，导致工程硕博士持续学习与适应新技术的能力欠缺，创新能力不足。</w:t>
      </w:r>
    </w:p>
    <w:p>
      <w:pPr>
        <w:pStyle w:val="14"/>
        <w:ind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2.解决实践问题的方法</w:t>
      </w:r>
    </w:p>
    <w:p>
      <w:pPr>
        <w:pStyle w:val="14"/>
        <w:ind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（1）</w:t>
      </w:r>
      <w:r>
        <w:rPr>
          <w:rFonts w:eastAsia="仿宋"/>
          <w:b/>
          <w:spacing w:val="-10"/>
          <w:kern w:val="0"/>
          <w:sz w:val="32"/>
          <w:szCs w:val="32"/>
        </w:rPr>
        <w:t>理</w:t>
      </w:r>
      <w:r>
        <w:rPr>
          <w:rFonts w:hint="eastAsia" w:eastAsia="仿宋"/>
          <w:b/>
          <w:spacing w:val="-10"/>
          <w:kern w:val="0"/>
          <w:sz w:val="32"/>
          <w:szCs w:val="32"/>
        </w:rPr>
        <w:t>-</w:t>
      </w:r>
      <w:r>
        <w:rPr>
          <w:rFonts w:eastAsia="仿宋"/>
          <w:b/>
          <w:spacing w:val="-10"/>
          <w:kern w:val="0"/>
          <w:sz w:val="32"/>
          <w:szCs w:val="32"/>
        </w:rPr>
        <w:t>虚</w:t>
      </w:r>
      <w:r>
        <w:rPr>
          <w:rFonts w:hint="eastAsia" w:eastAsia="仿宋"/>
          <w:b/>
          <w:spacing w:val="-10"/>
          <w:kern w:val="0"/>
          <w:sz w:val="32"/>
          <w:szCs w:val="32"/>
        </w:rPr>
        <w:t>-</w:t>
      </w:r>
      <w:r>
        <w:rPr>
          <w:rFonts w:eastAsia="仿宋"/>
          <w:b/>
          <w:spacing w:val="-10"/>
          <w:kern w:val="0"/>
          <w:sz w:val="32"/>
          <w:szCs w:val="32"/>
        </w:rPr>
        <w:t>实融合建设校内多基地协同联动工程实践平台，实现多方位实践资源跨时空共享。</w:t>
      </w:r>
      <w:r>
        <w:rPr>
          <w:rFonts w:eastAsia="仿宋"/>
          <w:spacing w:val="-10"/>
          <w:kern w:val="0"/>
          <w:sz w:val="32"/>
          <w:szCs w:val="32"/>
        </w:rPr>
        <w:t>通过IT&amp;OT的深度融合，实景接入各分院和项目制产教融合基地的实训平台场景、部分校内国家和省部级平台基地创新系统，实现了工程创新训练资源跨域灵活共享和集中展现。</w:t>
      </w:r>
    </w:p>
    <w:p>
      <w:pPr>
        <w:pStyle w:val="14"/>
        <w:ind w:firstLine="603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（2）面向国家关键领域和重点产业，校企联建工程师技术中心。</w:t>
      </w:r>
      <w:r>
        <w:rPr>
          <w:rFonts w:eastAsia="仿宋"/>
          <w:spacing w:val="-10"/>
          <w:kern w:val="0"/>
          <w:sz w:val="32"/>
          <w:szCs w:val="32"/>
        </w:rPr>
        <w:t>与中国石油、中国船舶等37家央企、国企共建集课题研究、创新实践于一体的工程师技术中心，构建体系化、有组织、团队式的联合人才培养和技术攻关模式。</w:t>
      </w:r>
    </w:p>
    <w:p>
      <w:pPr>
        <w:pStyle w:val="14"/>
        <w:ind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（3）</w:t>
      </w:r>
      <w:r>
        <w:rPr>
          <w:rFonts w:eastAsia="仿宋"/>
          <w:b/>
          <w:spacing w:val="-10"/>
          <w:kern w:val="0"/>
          <w:sz w:val="32"/>
          <w:szCs w:val="32"/>
        </w:rPr>
        <w:t>面向工程开发关键技术环节，建设融会贯通的高阶工程认知与实践等40余门课程。</w:t>
      </w:r>
      <w:r>
        <w:rPr>
          <w:rFonts w:eastAsia="仿宋"/>
          <w:spacing w:val="-10"/>
          <w:kern w:val="0"/>
          <w:sz w:val="32"/>
          <w:szCs w:val="32"/>
        </w:rPr>
        <w:t>打造“8+X”高阶工程认知与实践课程体系，每年参与课程教学的资深行业企业专家200余人，《高阶工程认知与实践》课程年总教学人时数达5.5万多人时。</w:t>
      </w:r>
    </w:p>
    <w:p>
      <w:pPr>
        <w:pStyle w:val="14"/>
        <w:ind w:left="-2" w:leftChars="-1"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3.创新点</w:t>
      </w:r>
    </w:p>
    <w:p>
      <w:pPr>
        <w:pStyle w:val="14"/>
        <w:ind w:left="-2" w:leftChars="-1" w:firstLine="603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（1）打造了校内类企业级别多学科交叉工程实践教学平台。</w:t>
      </w:r>
      <w:r>
        <w:rPr>
          <w:rFonts w:eastAsia="仿宋"/>
          <w:spacing w:val="-10"/>
          <w:kern w:val="0"/>
          <w:sz w:val="32"/>
          <w:szCs w:val="32"/>
        </w:rPr>
        <w:t>整合延伸学校、企业、科研机构的育人功能，建立类企业创新实训环境，使工程硕博士研究生在真环境中开展真实践，研究真问题、产出真成果、获得真本领。</w:t>
      </w:r>
    </w:p>
    <w:p>
      <w:pPr>
        <w:pStyle w:val="14"/>
        <w:ind w:left="-2" w:leftChars="-1" w:firstLine="603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（2）创新了工程师技术中心多方合作共建机制。</w:t>
      </w:r>
      <w:r>
        <w:rPr>
          <w:rFonts w:eastAsia="仿宋"/>
          <w:spacing w:val="-10"/>
          <w:kern w:val="0"/>
          <w:sz w:val="32"/>
          <w:szCs w:val="32"/>
        </w:rPr>
        <w:t>构建了可持续、可扩展、可演进的高能级工程师技术实践平台，实现了虚实结合、时空无阻、研学互促、校企联动的创新实践训练。</w:t>
      </w:r>
    </w:p>
    <w:p>
      <w:pPr>
        <w:pStyle w:val="14"/>
        <w:ind w:left="-2" w:leftChars="-1" w:firstLine="603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（3）建立了全流程、模块化和递进式的工程实践教学体系。</w:t>
      </w:r>
      <w:r>
        <w:rPr>
          <w:rFonts w:eastAsia="仿宋"/>
          <w:spacing w:val="-10"/>
          <w:kern w:val="0"/>
          <w:sz w:val="32"/>
          <w:szCs w:val="32"/>
        </w:rPr>
        <w:t>建立集工程设计、仿真、制造、测试、分析、集成、同、应用于一体的高阶工程实践课程，为学生工程创新构建所需的工具链、知识链和资源链，促进研究生对复杂工程系统及交叉专业领域的综合认知。</w:t>
      </w:r>
    </w:p>
    <w:p>
      <w:pPr>
        <w:pStyle w:val="14"/>
        <w:ind w:firstLine="600"/>
        <w:rPr>
          <w:rFonts w:eastAsia="仿宋"/>
          <w:spacing w:val="-10"/>
          <w:kern w:val="0"/>
          <w:sz w:val="32"/>
          <w:szCs w:val="32"/>
        </w:rPr>
      </w:pPr>
      <w:r>
        <w:rPr>
          <w:rFonts w:eastAsia="仿宋"/>
          <w:spacing w:val="-10"/>
          <w:kern w:val="0"/>
          <w:sz w:val="32"/>
          <w:szCs w:val="32"/>
        </w:rPr>
        <w:t>4．推广应用成果及贡献</w:t>
      </w:r>
    </w:p>
    <w:p>
      <w:pPr>
        <w:widowControl/>
        <w:ind w:firstLine="603" w:firstLineChars="200"/>
        <w:rPr>
          <w:rFonts w:eastAsia="仿宋"/>
          <w:b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（1）提升了专业学位研究生工程创新实践能力</w:t>
      </w:r>
    </w:p>
    <w:p>
      <w:pPr>
        <w:widowControl/>
        <w:ind w:firstLine="600" w:firstLineChars="200"/>
        <w:rPr>
          <w:rFonts w:eastAsia="仿宋"/>
          <w:spacing w:val="-10"/>
          <w:kern w:val="0"/>
          <w:sz w:val="32"/>
          <w:szCs w:val="32"/>
        </w:rPr>
      </w:pPr>
      <w:r>
        <w:rPr>
          <w:rFonts w:hint="eastAsia" w:eastAsia="仿宋"/>
          <w:spacing w:val="-10"/>
          <w:kern w:val="0"/>
          <w:sz w:val="32"/>
          <w:szCs w:val="32"/>
        </w:rPr>
        <w:t>近2年</w:t>
      </w:r>
      <w:r>
        <w:rPr>
          <w:rFonts w:eastAsia="仿宋"/>
          <w:spacing w:val="-10"/>
          <w:kern w:val="0"/>
          <w:sz w:val="32"/>
          <w:szCs w:val="32"/>
        </w:rPr>
        <w:t>研究生获省级专业实践优秀成果奖21项，获“挑战杯”“互联网+”等国家级金奖1项、省金奖等各类奖项30余项。</w:t>
      </w:r>
    </w:p>
    <w:p>
      <w:pPr>
        <w:widowControl/>
        <w:ind w:firstLine="603" w:firstLineChars="200"/>
        <w:rPr>
          <w:rFonts w:eastAsia="仿宋"/>
          <w:b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（2）培养了一批国家关键领域产业急需卓越工程人才</w:t>
      </w:r>
    </w:p>
    <w:p>
      <w:pPr>
        <w:widowControl/>
        <w:ind w:firstLine="600" w:firstLineChars="200"/>
        <w:rPr>
          <w:rFonts w:eastAsia="仿宋"/>
          <w:spacing w:val="-10"/>
          <w:kern w:val="0"/>
          <w:sz w:val="32"/>
          <w:szCs w:val="32"/>
        </w:rPr>
      </w:pPr>
      <w:r>
        <w:rPr>
          <w:rFonts w:hint="eastAsia" w:eastAsia="仿宋"/>
          <w:spacing w:val="-10"/>
          <w:kern w:val="0"/>
          <w:sz w:val="32"/>
          <w:szCs w:val="32"/>
        </w:rPr>
        <w:t>开展创新实训后</w:t>
      </w:r>
      <w:r>
        <w:rPr>
          <w:rFonts w:eastAsia="仿宋"/>
          <w:spacing w:val="-10"/>
          <w:kern w:val="0"/>
          <w:sz w:val="32"/>
          <w:szCs w:val="32"/>
        </w:rPr>
        <w:t>毕业生635人，被用人单位抢聘，40%以上进入央企、国企、世界五百强等单位，206人毕业的同时获得工程师职称证书。</w:t>
      </w:r>
    </w:p>
    <w:p>
      <w:pPr>
        <w:widowControl/>
        <w:ind w:firstLine="603" w:firstLineChars="200"/>
        <w:rPr>
          <w:rFonts w:eastAsia="仿宋"/>
          <w:b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（3）为国家卓越</w:t>
      </w:r>
      <w:r>
        <w:rPr>
          <w:rFonts w:hint="eastAsia" w:eastAsia="仿宋"/>
          <w:b/>
          <w:spacing w:val="-10"/>
          <w:kern w:val="0"/>
          <w:sz w:val="32"/>
          <w:szCs w:val="32"/>
        </w:rPr>
        <w:t>工程师</w:t>
      </w:r>
      <w:r>
        <w:rPr>
          <w:rFonts w:eastAsia="仿宋"/>
          <w:b/>
          <w:spacing w:val="-10"/>
          <w:kern w:val="0"/>
          <w:sz w:val="32"/>
          <w:szCs w:val="32"/>
        </w:rPr>
        <w:t>培养提供了理论实践支撑</w:t>
      </w:r>
    </w:p>
    <w:p>
      <w:pPr>
        <w:widowControl/>
        <w:ind w:firstLine="600" w:firstLineChars="200"/>
        <w:rPr>
          <w:rFonts w:eastAsia="仿宋"/>
          <w:spacing w:val="-10"/>
          <w:kern w:val="0"/>
          <w:sz w:val="32"/>
          <w:szCs w:val="32"/>
        </w:rPr>
      </w:pPr>
      <w:r>
        <w:rPr>
          <w:rFonts w:hint="eastAsia" w:eastAsia="仿宋"/>
          <w:spacing w:val="-10"/>
          <w:kern w:val="0"/>
          <w:sz w:val="32"/>
          <w:szCs w:val="32"/>
        </w:rPr>
        <w:t>政策建议被中央某决策部门采纳，相关</w:t>
      </w:r>
      <w:r>
        <w:rPr>
          <w:rFonts w:eastAsia="仿宋"/>
          <w:spacing w:val="-10"/>
          <w:kern w:val="0"/>
          <w:sz w:val="32"/>
          <w:szCs w:val="32"/>
        </w:rPr>
        <w:t>做法在《学位与研究生教育》2024年第3期发表，党委书记任少波、校长杜江峰</w:t>
      </w:r>
      <w:r>
        <w:rPr>
          <w:rFonts w:hint="eastAsia" w:eastAsia="仿宋"/>
          <w:spacing w:val="-10"/>
          <w:kern w:val="0"/>
          <w:sz w:val="32"/>
          <w:szCs w:val="32"/>
        </w:rPr>
        <w:t>2年内</w:t>
      </w:r>
      <w:r>
        <w:rPr>
          <w:rFonts w:eastAsia="仿宋"/>
          <w:spacing w:val="-10"/>
          <w:kern w:val="0"/>
          <w:sz w:val="32"/>
          <w:szCs w:val="32"/>
        </w:rPr>
        <w:t>4次受邀在中组部、教育部卓越工程师培养推进会上介绍经验，培养模式2年内获教育部新闻办、中央电视台、中国教育电视台、《人民日报》宣传5次。</w:t>
      </w:r>
    </w:p>
    <w:p>
      <w:pPr>
        <w:widowControl/>
        <w:ind w:left="520"/>
        <w:rPr>
          <w:rFonts w:eastAsia="仿宋"/>
          <w:b/>
          <w:spacing w:val="-10"/>
          <w:kern w:val="0"/>
          <w:sz w:val="32"/>
          <w:szCs w:val="32"/>
        </w:rPr>
      </w:pPr>
      <w:r>
        <w:rPr>
          <w:rFonts w:eastAsia="仿宋"/>
          <w:b/>
          <w:spacing w:val="-10"/>
          <w:kern w:val="0"/>
          <w:sz w:val="32"/>
          <w:szCs w:val="32"/>
        </w:rPr>
        <w:t>（4）为工程</w:t>
      </w:r>
      <w:r>
        <w:rPr>
          <w:rFonts w:hint="eastAsia" w:eastAsia="仿宋"/>
          <w:b/>
          <w:spacing w:val="-10"/>
          <w:kern w:val="0"/>
          <w:sz w:val="32"/>
          <w:szCs w:val="32"/>
        </w:rPr>
        <w:t>硕博士</w:t>
      </w:r>
      <w:r>
        <w:rPr>
          <w:rFonts w:eastAsia="仿宋"/>
          <w:b/>
          <w:spacing w:val="-10"/>
          <w:kern w:val="0"/>
          <w:sz w:val="32"/>
          <w:szCs w:val="32"/>
        </w:rPr>
        <w:t>培养改革提供了先行样板</w:t>
      </w:r>
    </w:p>
    <w:p>
      <w:pPr>
        <w:widowControl/>
        <w:ind w:firstLine="600" w:firstLineChars="200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r>
        <w:rPr>
          <w:rFonts w:eastAsia="仿宋"/>
          <w:spacing w:val="-10"/>
          <w:kern w:val="0"/>
          <w:sz w:val="32"/>
          <w:szCs w:val="32"/>
        </w:rPr>
        <w:t>清华大学、北京航空航天大学、东南大学、西安交通大学等高校专程来访调研，</w:t>
      </w:r>
      <w:r>
        <w:rPr>
          <w:rFonts w:hint="eastAsia" w:eastAsia="仿宋"/>
          <w:spacing w:val="-10"/>
          <w:kern w:val="0"/>
          <w:sz w:val="32"/>
          <w:szCs w:val="32"/>
        </w:rPr>
        <w:t>2</w:t>
      </w:r>
      <w:r>
        <w:rPr>
          <w:rFonts w:eastAsia="仿宋"/>
          <w:spacing w:val="-10"/>
          <w:kern w:val="0"/>
          <w:sz w:val="32"/>
          <w:szCs w:val="32"/>
        </w:rPr>
        <w:t>年内来访调研高校及企业达到100余</w:t>
      </w:r>
      <w:r>
        <w:rPr>
          <w:rFonts w:hint="eastAsia" w:eastAsia="仿宋"/>
          <w:spacing w:val="-10"/>
          <w:kern w:val="0"/>
          <w:sz w:val="32"/>
          <w:szCs w:val="32"/>
        </w:rPr>
        <w:t>家</w:t>
      </w:r>
    </w:p>
    <w:p>
      <w:pPr>
        <w:widowControl/>
        <w:jc w:val="left"/>
        <w:rPr>
          <w:rFonts w:asciiTheme="minorEastAsia" w:hAnsiTheme="minorEastAsia" w:eastAsiaTheme="minorEastAsia"/>
          <w:kern w:val="0"/>
        </w:rPr>
      </w:pPr>
    </w:p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asciiTheme="minorEastAsia" w:hAnsiTheme="minorEastAsia" w:eastAsiaTheme="minorEastAsia"/>
          <w:spacing w:val="-1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三、主要完成单位情况</w:t>
      </w:r>
    </w:p>
    <w:tbl>
      <w:tblPr>
        <w:tblStyle w:val="8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2023"/>
        <w:gridCol w:w="1334"/>
        <w:gridCol w:w="40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第（一）完成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浙江大学工程师学院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魏兵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4054" w:type="dxa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18868818602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邮    箱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sgweibing@zju.edu.cn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40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杭州市拱墅区石祥路269号浙大工程师学院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贡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习近平新时代中国特色社会主义思想为指引，主动服务国家战略领域和关键产业人才需求，落实立德树人根本任务，培养卓越工程师。探索形成学科融汇、产教融合、全程贯通的卓越工程师高阶工程创新实训体系。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单位公章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年   月   日</w:t>
            </w:r>
          </w:p>
          <w:p>
            <w:pPr>
              <w:ind w:left="189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</w:t>
      </w:r>
      <w:r>
        <w:rPr>
          <w:rFonts w:asciiTheme="minorEastAsia" w:hAnsiTheme="minorEastAsia" w:eastAsiaTheme="minorEastAsia"/>
          <w:sz w:val="24"/>
        </w:rPr>
        <w:t>:联合申请</w:t>
      </w:r>
      <w:r>
        <w:rPr>
          <w:rFonts w:hint="eastAsia" w:asciiTheme="minorEastAsia" w:hAnsiTheme="minorEastAsia" w:eastAsiaTheme="minorEastAsia"/>
          <w:sz w:val="24"/>
        </w:rPr>
        <w:t>的成果</w:t>
      </w:r>
      <w:r>
        <w:rPr>
          <w:rFonts w:asciiTheme="minorEastAsia" w:hAnsiTheme="minorEastAsia" w:eastAsiaTheme="minorEastAsia"/>
          <w:sz w:val="24"/>
        </w:rPr>
        <w:t>此页可复制填写</w:t>
      </w:r>
      <w:r>
        <w:rPr>
          <w:rFonts w:hint="eastAsia" w:asciiTheme="minorEastAsia" w:hAnsiTheme="minorEastAsia" w:eastAsiaTheme="minorEastAsia"/>
          <w:sz w:val="24"/>
        </w:rPr>
        <w:t>，主要完成单位原则上不超过</w:t>
      </w:r>
      <w:r>
        <w:rPr>
          <w:rFonts w:asciiTheme="minorEastAsia" w:hAnsiTheme="minorEastAsia" w:eastAsiaTheme="minorEastAsia"/>
          <w:sz w:val="24"/>
        </w:rPr>
        <w:t>3个。</w:t>
      </w:r>
      <w:r>
        <w:rPr>
          <w:rFonts w:asciiTheme="minorEastAsia" w:hAnsiTheme="minorEastAsia" w:eastAsiaTheme="minorEastAsia"/>
          <w:b/>
          <w:sz w:val="24"/>
        </w:rPr>
        <w:br w:type="page"/>
      </w:r>
      <w:r>
        <w:rPr>
          <w:rFonts w:hint="eastAsia" w:asciiTheme="minorEastAsia" w:hAnsiTheme="minorEastAsia" w:eastAsiaTheme="minorEastAsia"/>
          <w:spacing w:val="-10"/>
          <w:kern w:val="0"/>
          <w:sz w:val="36"/>
          <w:szCs w:val="36"/>
        </w:rPr>
        <w:t>四、推荐、评审意见</w:t>
      </w:r>
    </w:p>
    <w:tbl>
      <w:tblPr>
        <w:tblStyle w:val="8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推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荐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2860" w:firstLineChars="13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推荐单位公章：</w:t>
            </w:r>
          </w:p>
          <w:p>
            <w:pPr>
              <w:ind w:firstLine="4070" w:firstLineChars="18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070" w:firstLineChars="18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070" w:firstLineChars="1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初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2640" w:firstLineChars="12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评审组签字：</w:t>
            </w:r>
          </w:p>
          <w:p>
            <w:pPr>
              <w:ind w:firstLine="3300" w:firstLineChars="15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复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评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080" w:firstLineChars="14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复评答辩委员会主任签字：</w:t>
            </w: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510" w:firstLineChars="20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1072" w:type="dxa"/>
            <w:vAlign w:val="center"/>
          </w:tcPr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审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定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意</w:t>
            </w:r>
          </w:p>
          <w:p>
            <w:pPr>
              <w:ind w:left="-6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>
            <w:pPr>
              <w:ind w:firstLine="3850" w:firstLineChars="17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850" w:firstLineChars="17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850" w:firstLineChars="17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3740" w:firstLineChars="170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学会理事长签字：</w:t>
            </w:r>
          </w:p>
          <w:p>
            <w:pPr>
              <w:ind w:firstLine="4730" w:firstLineChars="2150"/>
              <w:rPr>
                <w:rFonts w:asciiTheme="minorEastAsia" w:hAnsiTheme="minorEastAsia" w:eastAsiaTheme="minorEastAsia"/>
                <w:spacing w:val="-10"/>
                <w:kern w:val="0"/>
                <w:sz w:val="24"/>
              </w:rPr>
            </w:pPr>
          </w:p>
          <w:p>
            <w:pPr>
              <w:ind w:firstLine="4730" w:firstLineChars="2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kern w:val="0"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2RkNGI3ZGRiNTliZWZhZmNmZTc0MWZkYTBlNDQifQ=="/>
  </w:docVars>
  <w:rsids>
    <w:rsidRoot w:val="00A51F7B"/>
    <w:rsid w:val="0015128C"/>
    <w:rsid w:val="001B3B35"/>
    <w:rsid w:val="00244ECC"/>
    <w:rsid w:val="002B1FCF"/>
    <w:rsid w:val="002D6B0B"/>
    <w:rsid w:val="002D6EBB"/>
    <w:rsid w:val="004D34CE"/>
    <w:rsid w:val="00503AB3"/>
    <w:rsid w:val="00512460"/>
    <w:rsid w:val="005936EF"/>
    <w:rsid w:val="005D414A"/>
    <w:rsid w:val="00606DB1"/>
    <w:rsid w:val="0061499F"/>
    <w:rsid w:val="00670680"/>
    <w:rsid w:val="00673AD0"/>
    <w:rsid w:val="00674F3E"/>
    <w:rsid w:val="00683A34"/>
    <w:rsid w:val="00693FBF"/>
    <w:rsid w:val="006C2F14"/>
    <w:rsid w:val="006D7D20"/>
    <w:rsid w:val="006F5C83"/>
    <w:rsid w:val="00810EAD"/>
    <w:rsid w:val="00845F4E"/>
    <w:rsid w:val="008919C9"/>
    <w:rsid w:val="00892065"/>
    <w:rsid w:val="008C39D7"/>
    <w:rsid w:val="00A51F7B"/>
    <w:rsid w:val="00B06524"/>
    <w:rsid w:val="00B85390"/>
    <w:rsid w:val="00C06274"/>
    <w:rsid w:val="00C16116"/>
    <w:rsid w:val="00C33875"/>
    <w:rsid w:val="00D7570D"/>
    <w:rsid w:val="00D87A73"/>
    <w:rsid w:val="00D968DB"/>
    <w:rsid w:val="00DD6F8E"/>
    <w:rsid w:val="00F05C90"/>
    <w:rsid w:val="00F1672A"/>
    <w:rsid w:val="00F63F85"/>
    <w:rsid w:val="00F851C8"/>
    <w:rsid w:val="00FD707A"/>
    <w:rsid w:val="025D6B3C"/>
    <w:rsid w:val="04315217"/>
    <w:rsid w:val="04ED4BEA"/>
    <w:rsid w:val="05D1012B"/>
    <w:rsid w:val="05E64A5A"/>
    <w:rsid w:val="05F16AF6"/>
    <w:rsid w:val="06CB3C0E"/>
    <w:rsid w:val="09E0733A"/>
    <w:rsid w:val="0A662823"/>
    <w:rsid w:val="0A921E50"/>
    <w:rsid w:val="0C75511E"/>
    <w:rsid w:val="0C8E2713"/>
    <w:rsid w:val="102C6720"/>
    <w:rsid w:val="103001F2"/>
    <w:rsid w:val="109322EA"/>
    <w:rsid w:val="10981985"/>
    <w:rsid w:val="11D55397"/>
    <w:rsid w:val="11DD5372"/>
    <w:rsid w:val="155B6F0B"/>
    <w:rsid w:val="18C33745"/>
    <w:rsid w:val="193E101D"/>
    <w:rsid w:val="1A3362D2"/>
    <w:rsid w:val="1A7A42D7"/>
    <w:rsid w:val="1AFC4CE9"/>
    <w:rsid w:val="1AFE6CB6"/>
    <w:rsid w:val="1C9433C5"/>
    <w:rsid w:val="1E110C7A"/>
    <w:rsid w:val="1E2F362A"/>
    <w:rsid w:val="1EDE43F6"/>
    <w:rsid w:val="1EEE2583"/>
    <w:rsid w:val="1F194C3B"/>
    <w:rsid w:val="1FEE594A"/>
    <w:rsid w:val="233139A1"/>
    <w:rsid w:val="2382155F"/>
    <w:rsid w:val="23B1063E"/>
    <w:rsid w:val="24082954"/>
    <w:rsid w:val="24267C6A"/>
    <w:rsid w:val="25302162"/>
    <w:rsid w:val="261A5EA3"/>
    <w:rsid w:val="26AD77E2"/>
    <w:rsid w:val="2829167F"/>
    <w:rsid w:val="28514337"/>
    <w:rsid w:val="29303496"/>
    <w:rsid w:val="2AC84BEB"/>
    <w:rsid w:val="2B163BA8"/>
    <w:rsid w:val="2C02412C"/>
    <w:rsid w:val="2EF57F78"/>
    <w:rsid w:val="2F340AA1"/>
    <w:rsid w:val="2FEE50F3"/>
    <w:rsid w:val="32A970B0"/>
    <w:rsid w:val="33010C9A"/>
    <w:rsid w:val="33E27FB5"/>
    <w:rsid w:val="350E3B42"/>
    <w:rsid w:val="37A83DDA"/>
    <w:rsid w:val="38110F1F"/>
    <w:rsid w:val="3A974782"/>
    <w:rsid w:val="3ABF2A87"/>
    <w:rsid w:val="3AD66EB0"/>
    <w:rsid w:val="3D872571"/>
    <w:rsid w:val="3F2B015C"/>
    <w:rsid w:val="40736F4F"/>
    <w:rsid w:val="409E587C"/>
    <w:rsid w:val="41E27A7C"/>
    <w:rsid w:val="46616D51"/>
    <w:rsid w:val="47C63E08"/>
    <w:rsid w:val="48452CF3"/>
    <w:rsid w:val="48AC1250"/>
    <w:rsid w:val="49D071C0"/>
    <w:rsid w:val="4ACB74F7"/>
    <w:rsid w:val="4B7C7600"/>
    <w:rsid w:val="4C2F4672"/>
    <w:rsid w:val="4DCF2582"/>
    <w:rsid w:val="4E7D41AC"/>
    <w:rsid w:val="4F6512F6"/>
    <w:rsid w:val="508B3E41"/>
    <w:rsid w:val="51124F7E"/>
    <w:rsid w:val="51FD7CE3"/>
    <w:rsid w:val="524B7805"/>
    <w:rsid w:val="543640C4"/>
    <w:rsid w:val="56EC0D27"/>
    <w:rsid w:val="571D3782"/>
    <w:rsid w:val="58B7000A"/>
    <w:rsid w:val="59BB12F3"/>
    <w:rsid w:val="59EA4662"/>
    <w:rsid w:val="5A845B89"/>
    <w:rsid w:val="5B0A0374"/>
    <w:rsid w:val="5B3475AF"/>
    <w:rsid w:val="5B4B709A"/>
    <w:rsid w:val="5C614608"/>
    <w:rsid w:val="5CD252D1"/>
    <w:rsid w:val="5CE957D4"/>
    <w:rsid w:val="5D362961"/>
    <w:rsid w:val="5E015742"/>
    <w:rsid w:val="5F57051C"/>
    <w:rsid w:val="5F830B05"/>
    <w:rsid w:val="60B74180"/>
    <w:rsid w:val="60D4713E"/>
    <w:rsid w:val="657A6506"/>
    <w:rsid w:val="66140709"/>
    <w:rsid w:val="66216982"/>
    <w:rsid w:val="666C1B19"/>
    <w:rsid w:val="667367C1"/>
    <w:rsid w:val="669A69A7"/>
    <w:rsid w:val="68112A26"/>
    <w:rsid w:val="68AF4719"/>
    <w:rsid w:val="695F613F"/>
    <w:rsid w:val="6A3754D9"/>
    <w:rsid w:val="6E9436D4"/>
    <w:rsid w:val="703723AC"/>
    <w:rsid w:val="73C234CA"/>
    <w:rsid w:val="75287D2D"/>
    <w:rsid w:val="77CA7587"/>
    <w:rsid w:val="77D71596"/>
    <w:rsid w:val="7847671C"/>
    <w:rsid w:val="795A5FDB"/>
    <w:rsid w:val="79A84B20"/>
    <w:rsid w:val="79B147CB"/>
    <w:rsid w:val="7A0F3269"/>
    <w:rsid w:val="7A2C78CF"/>
    <w:rsid w:val="7C8B4204"/>
    <w:rsid w:val="7CE3278B"/>
    <w:rsid w:val="7D60202E"/>
    <w:rsid w:val="7E047B0F"/>
    <w:rsid w:val="7E3430F2"/>
    <w:rsid w:val="7F25709F"/>
    <w:rsid w:val="7F7060A2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10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5885</Words>
  <Characters>6448</Characters>
  <Lines>114</Lines>
  <Paragraphs>32</Paragraphs>
  <TotalTime>2</TotalTime>
  <ScaleCrop>false</ScaleCrop>
  <LinksUpToDate>false</LinksUpToDate>
  <CharactersWithSpaces>7141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2017-02-23T06:04:00Z</dcterms:created>
  <dc:creator>HP</dc:creator>
  <cp:lastModifiedBy>Wei.B</cp:lastModifiedBy>
  <cp:lastPrinted>2017-03-01T00:38:00Z</cp:lastPrinted>
  <dcterms:modified xsi:type="dcterms:W3CDTF">2024-06-24T08:13:20Z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E88CE89BAFB6437B9D26303A9DF3623E</vt:lpwstr>
  </property>
</Properties>
</file>