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686" w:type="dxa"/>
        <w:jc w:val="center"/>
        <w:tblLayout w:type="fixed"/>
        <w:tblCellMar>
          <w:top w:w="0" w:type="dxa"/>
          <w:left w:w="108" w:type="dxa"/>
          <w:bottom w:w="0" w:type="dxa"/>
          <w:right w:w="108" w:type="dxa"/>
        </w:tblCellMar>
      </w:tblPr>
      <w:tblGrid>
        <w:gridCol w:w="648"/>
        <w:gridCol w:w="101"/>
        <w:gridCol w:w="2488"/>
        <w:gridCol w:w="11162"/>
        <w:gridCol w:w="663"/>
        <w:gridCol w:w="650"/>
        <w:gridCol w:w="974"/>
      </w:tblGrid>
      <w:tr>
        <w:tblPrEx>
          <w:tblCellMar>
            <w:top w:w="0" w:type="dxa"/>
            <w:left w:w="108" w:type="dxa"/>
            <w:bottom w:w="0" w:type="dxa"/>
            <w:right w:w="108" w:type="dxa"/>
          </w:tblCellMar>
        </w:tblPrEx>
        <w:trPr>
          <w:trHeight w:val="456" w:hRule="atLeast"/>
          <w:jc w:val="center"/>
        </w:trPr>
        <w:tc>
          <w:tcPr>
            <w:tcW w:w="648" w:type="dxa"/>
            <w:tcBorders>
              <w:top w:val="nil"/>
              <w:left w:val="nil"/>
              <w:bottom w:val="single" w:color="auto" w:sz="4" w:space="0"/>
              <w:right w:val="nil"/>
            </w:tcBorders>
          </w:tcPr>
          <w:p>
            <w:pPr>
              <w:jc w:val="center"/>
              <w:rPr>
                <w:rFonts w:ascii="Times New Roman" w:hAnsi="Times New Roman" w:eastAsia="黑体"/>
                <w:color w:val="000000"/>
                <w:kern w:val="0"/>
                <w:sz w:val="32"/>
                <w:szCs w:val="32"/>
              </w:rPr>
            </w:pPr>
          </w:p>
        </w:tc>
        <w:tc>
          <w:tcPr>
            <w:tcW w:w="16038" w:type="dxa"/>
            <w:gridSpan w:val="6"/>
            <w:tcBorders>
              <w:top w:val="nil"/>
              <w:left w:val="nil"/>
              <w:bottom w:val="single" w:color="auto" w:sz="4" w:space="0"/>
              <w:right w:val="nil"/>
            </w:tcBorders>
            <w:shd w:val="clear" w:color="auto" w:fill="auto"/>
            <w:noWrap/>
            <w:vAlign w:val="center"/>
          </w:tcPr>
          <w:p>
            <w:pPr>
              <w:jc w:val="center"/>
              <w:rPr>
                <w:rFonts w:ascii="Times New Roman" w:hAnsi="Times New Roman"/>
              </w:rPr>
            </w:pPr>
            <w:r>
              <w:rPr>
                <w:rFonts w:ascii="Times New Roman" w:hAnsi="Times New Roman" w:eastAsia="黑体"/>
                <w:color w:val="000000"/>
                <w:kern w:val="0"/>
                <w:sz w:val="32"/>
                <w:szCs w:val="32"/>
              </w:rPr>
              <w:t>2021年浙江大学工程师学院基层党支部“对标争先”建设计划自查表（</w:t>
            </w:r>
            <w:r>
              <w:rPr>
                <w:rFonts w:hint="eastAsia" w:ascii="Times New Roman" w:hAnsi="Times New Roman" w:eastAsia="黑体"/>
                <w:color w:val="000000"/>
                <w:kern w:val="0"/>
                <w:sz w:val="32"/>
                <w:szCs w:val="32"/>
              </w:rPr>
              <w:t>教职</w:t>
            </w:r>
            <w:r>
              <w:rPr>
                <w:rFonts w:ascii="Times New Roman" w:hAnsi="Times New Roman" w:eastAsia="黑体"/>
                <w:color w:val="000000"/>
                <w:kern w:val="0"/>
                <w:sz w:val="32"/>
                <w:szCs w:val="32"/>
              </w:rPr>
              <w:t>工党支部）</w:t>
            </w:r>
          </w:p>
          <w:p>
            <w:pPr>
              <w:widowControl/>
              <w:jc w:val="left"/>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支部名称：                                          党支部书记（签字）：                              填表时间：20</w:t>
            </w:r>
            <w:r>
              <w:rPr>
                <w:rFonts w:hint="eastAsia" w:ascii="Times New Roman" w:hAnsi="Times New Roman" w:cs="Times New Roman"/>
                <w:color w:val="000000"/>
                <w:kern w:val="0"/>
                <w:sz w:val="24"/>
                <w:szCs w:val="24"/>
              </w:rPr>
              <w:t>21年</w:t>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月</w:t>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日</w:t>
            </w:r>
          </w:p>
        </w:tc>
      </w:tr>
      <w:tr>
        <w:tblPrEx>
          <w:tblCellMar>
            <w:top w:w="0" w:type="dxa"/>
            <w:left w:w="108" w:type="dxa"/>
            <w:bottom w:w="0" w:type="dxa"/>
            <w:right w:w="108" w:type="dxa"/>
          </w:tblCellMar>
        </w:tblPrEx>
        <w:trPr>
          <w:trHeight w:val="525" w:hRule="atLeast"/>
          <w:jc w:val="center"/>
        </w:trPr>
        <w:tc>
          <w:tcPr>
            <w:tcW w:w="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一级指标</w:t>
            </w:r>
          </w:p>
        </w:tc>
        <w:tc>
          <w:tcPr>
            <w:tcW w:w="248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二级指标</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三级指标</w:t>
            </w:r>
          </w:p>
        </w:tc>
        <w:tc>
          <w:tcPr>
            <w:tcW w:w="6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hint="eastAsia" w:ascii="Times New Roman" w:hAnsi="Times New Roman" w:eastAsia="宋体" w:cs="Times New Roman"/>
                <w:b/>
                <w:color w:val="000000"/>
                <w:kern w:val="0"/>
                <w:szCs w:val="24"/>
              </w:rPr>
              <w:t>分项</w:t>
            </w:r>
            <w:r>
              <w:rPr>
                <w:rFonts w:ascii="Times New Roman" w:hAnsi="Times New Roman" w:eastAsia="宋体" w:cs="Times New Roman"/>
                <w:b/>
                <w:color w:val="000000"/>
                <w:kern w:val="0"/>
                <w:szCs w:val="24"/>
              </w:rPr>
              <w:t>分值</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自评分</w:t>
            </w:r>
          </w:p>
        </w:tc>
        <w:tc>
          <w:tcPr>
            <w:tcW w:w="974" w:type="dxa"/>
            <w:tcBorders>
              <w:top w:val="single" w:color="auto" w:sz="4" w:space="0"/>
              <w:left w:val="nil"/>
              <w:bottom w:val="single" w:color="auto" w:sz="4" w:space="0"/>
              <w:right w:val="single" w:color="auto" w:sz="4" w:space="0"/>
            </w:tcBorders>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b/>
                <w:color w:val="000000"/>
                <w:kern w:val="0"/>
                <w:szCs w:val="24"/>
              </w:rPr>
              <w:t>扣分事项说明</w:t>
            </w:r>
          </w:p>
        </w:tc>
      </w:tr>
      <w:tr>
        <w:trPr>
          <w:trHeight w:val="598"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1.教育党员有力（20分）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1.1 突出政治功能，党员教育扎实有效。</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（1）始终把政治建设摆在首位，用习近平新时代中国特色社会主义思想武装党员头脑、指导实践、推动工作，教育党员牢固树立“四个意识”、坚定“四个自信”。</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66"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（2）认真贯彻落实党的路线方针政策，宣传执行</w:t>
            </w:r>
            <w:r>
              <w:rPr>
                <w:rFonts w:ascii="Times New Roman" w:hAnsi="Times New Roman" w:cs="Times New Roman"/>
                <w:szCs w:val="24"/>
              </w:rPr>
              <w:t>学院党工委</w:t>
            </w:r>
            <w:r>
              <w:rPr>
                <w:rFonts w:ascii="Times New Roman" w:hAnsi="Times New Roman" w:eastAsia="宋体" w:cs="Times New Roman"/>
                <w:color w:val="000000"/>
                <w:kern w:val="0"/>
                <w:szCs w:val="24"/>
              </w:rPr>
              <w:t>及本支部的决议，支部党员、干部师生始终在思想上政治上行动上同以习近平同志为核心的党中央保持高度一致。</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3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szCs w:val="24"/>
              </w:rPr>
              <w:t>（3）按年度组织教工党员开展集中学习培训，时间一般不少于 32 个学时。</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954"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color w:val="000000"/>
                <w:kern w:val="0"/>
                <w:szCs w:val="24"/>
              </w:rPr>
              <w:t>1.2深入推进</w:t>
            </w:r>
            <w:r>
              <w:rPr>
                <w:rFonts w:ascii="Times New Roman" w:hAnsi="Times New Roman" w:cs="Times New Roman"/>
                <w:szCs w:val="24"/>
              </w:rPr>
              <w:t>“两学一做”</w:t>
            </w:r>
            <w:r>
              <w:rPr>
                <w:rFonts w:ascii="Times New Roman" w:hAnsi="Times New Roman" w:cs="Times New Roman"/>
                <w:color w:val="000000"/>
                <w:kern w:val="0"/>
                <w:szCs w:val="24"/>
              </w:rPr>
              <w:t>学习教育常态化制度化，</w:t>
            </w:r>
            <w:r>
              <w:rPr>
                <w:rFonts w:ascii="Times New Roman" w:hAnsi="Times New Roman" w:cs="Times New Roman"/>
                <w:szCs w:val="24"/>
              </w:rPr>
              <w:t>规范落实“三会一课”，全面推行主题党日</w:t>
            </w:r>
            <w:r>
              <w:rPr>
                <w:rFonts w:ascii="Times New Roman" w:hAnsi="Times New Roman" w:cs="Times New Roman"/>
                <w:color w:val="000000"/>
                <w:kern w:val="0"/>
                <w:szCs w:val="24"/>
              </w:rPr>
              <w:t>。</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25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（2）每月相对固定1天开展主题党日，组织党员集中学习、过组织生活、进行民主议事、开展志愿服务等活动。</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421"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2.管理党员有力（25分）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color w:val="000000"/>
                <w:kern w:val="0"/>
                <w:szCs w:val="24"/>
              </w:rPr>
              <w:t>2.1 支部班子建设规范，支委引领作用发挥充分，</w:t>
            </w:r>
            <w:r>
              <w:rPr>
                <w:rFonts w:ascii="Times New Roman" w:hAnsi="Times New Roman" w:cs="Times New Roman"/>
                <w:szCs w:val="24"/>
              </w:rPr>
              <w:t>台账管理持续加强</w:t>
            </w:r>
            <w:r>
              <w:rPr>
                <w:rFonts w:ascii="Times New Roman" w:hAnsi="Times New Roman" w:cs="Times New Roman"/>
                <w:color w:val="000000"/>
                <w:kern w:val="0"/>
                <w:szCs w:val="24"/>
              </w:rPr>
              <w:t>。</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r>
              <w:rPr>
                <w:rFonts w:ascii="Times New Roman" w:hAnsi="Times New Roman" w:cs="Times New Roman"/>
                <w:szCs w:val="24"/>
              </w:rPr>
              <w:t>及时制定年度工作计划。支委会集体讨论决定支部重要事项。</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72"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szCs w:val="24"/>
              </w:rPr>
              <w:t>（2）支部党建工作台账专人管理，内容详实、记录清晰。</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44"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2.2</w:t>
            </w:r>
            <w:r>
              <w:rPr>
                <w:rFonts w:ascii="Times New Roman" w:hAnsi="Times New Roman" w:cs="Times New Roman"/>
                <w:szCs w:val="24"/>
              </w:rPr>
              <w:t>党员发展、组织关系转接、党费收缴、党内统计、党员激励关怀帮扶等工作扎实有效。</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（1）坚持党员发展标准，严格党员发展程序，注重政治合格，端正师生入党动机。积极团结凝聚优秀教职工入党</w:t>
            </w:r>
            <w:r>
              <w:rPr>
                <w:rFonts w:ascii="Times New Roman" w:hAnsi="Times New Roman" w:cs="Times New Roman"/>
                <w:szCs w:val="24"/>
              </w:rPr>
              <w:t>，</w:t>
            </w:r>
            <w:r>
              <w:rPr>
                <w:rFonts w:ascii="Times New Roman" w:hAnsi="Times New Roman" w:cs="Times New Roman"/>
                <w:color w:val="000000"/>
                <w:kern w:val="0"/>
                <w:szCs w:val="24"/>
              </w:rPr>
              <w:t>重视发展少数民族</w:t>
            </w:r>
            <w:r>
              <w:rPr>
                <w:rFonts w:ascii="Times New Roman" w:hAnsi="Times New Roman" w:eastAsia="宋体" w:cs="Times New Roman"/>
                <w:color w:val="000000"/>
                <w:kern w:val="0"/>
                <w:szCs w:val="24"/>
              </w:rPr>
              <w:t>教职工</w:t>
            </w:r>
            <w:r>
              <w:rPr>
                <w:rFonts w:ascii="Times New Roman" w:hAnsi="Times New Roman" w:cs="Times New Roman"/>
                <w:color w:val="000000"/>
                <w:kern w:val="0"/>
                <w:szCs w:val="24"/>
              </w:rPr>
              <w:t>入党。</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rPr>
          <w:trHeight w:val="395"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r>
              <w:rPr>
                <w:rFonts w:ascii="Times New Roman" w:hAnsi="Times New Roman" w:cs="Times New Roman"/>
                <w:color w:val="000000"/>
                <w:kern w:val="0"/>
                <w:szCs w:val="24"/>
              </w:rPr>
              <w:t>党员组织隶属关系明晰，按规定做好党员党组织关系接转和出国境党员管理。</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5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color w:val="000000"/>
                <w:kern w:val="0"/>
                <w:szCs w:val="24"/>
              </w:rPr>
              <w:t>（3）严格落实党费收缴、使用和管理</w:t>
            </w:r>
            <w:r>
              <w:rPr>
                <w:rFonts w:ascii="Times New Roman" w:hAnsi="Times New Roman" w:cs="Times New Roman"/>
                <w:szCs w:val="24"/>
              </w:rPr>
              <w:t>，做好党内信息采集和统计工作。</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17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cs="Times New Roman"/>
                <w:color w:val="000000"/>
                <w:kern w:val="0"/>
                <w:szCs w:val="24"/>
              </w:rPr>
              <w:t>（4）</w:t>
            </w:r>
            <w:r>
              <w:rPr>
                <w:rFonts w:ascii="Times New Roman" w:hAnsi="Times New Roman" w:cs="Times New Roman"/>
                <w:szCs w:val="24"/>
              </w:rPr>
              <w:t>党员评奖评优、困难党员关怀帮扶工作务实管用、常态长效。</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17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cs="Times New Roman"/>
                <w:color w:val="000000"/>
                <w:kern w:val="0"/>
                <w:szCs w:val="24"/>
              </w:rPr>
            </w:pPr>
            <w:r>
              <w:rPr>
                <w:rFonts w:ascii="Times New Roman" w:hAnsi="Times New Roman" w:cs="Times New Roman"/>
                <w:color w:val="000000"/>
                <w:kern w:val="0"/>
                <w:szCs w:val="24"/>
              </w:rPr>
              <w:t>（5）积极组织党员开展支部活动，无长期不参加组织生活的党员。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24"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2.3 党员先锋模范作用充分发挥。</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（1）教育引导教职工党员在日常学习与教学科研生活中亮出党员身份</w:t>
            </w:r>
            <w:r>
              <w:rPr>
                <w:rFonts w:ascii="Times New Roman" w:hAnsi="Times New Roman" w:cs="Times New Roman"/>
                <w:color w:val="000000"/>
                <w:kern w:val="0"/>
                <w:szCs w:val="24"/>
              </w:rPr>
              <w:t>，立起先进标尺、树立先锋形象</w:t>
            </w:r>
            <w:r>
              <w:rPr>
                <w:rFonts w:ascii="Times New Roman" w:hAnsi="Times New Roman" w:eastAsia="宋体" w:cs="Times New Roman"/>
                <w:color w:val="000000"/>
                <w:kern w:val="0"/>
                <w:szCs w:val="24"/>
              </w:rPr>
              <w:t>。</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241"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（2）教育引导教职工党员努力成为“四有好老师”“四个引路人”和“四个相统一”的表率。</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rPr>
          <w:trHeight w:val="657"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3.监督党员有力（10分）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坚持把纪律和规矩挺在前面，监督党员履行义务、遵规守纪及时到位。</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严格用党章党规党纪规范党员行为，教育引导党员模范遵守道德规范、践行学术道德、严守纪律底线。落实谈心谈话制度，党支部委员之间、党支部委员和党员之间、党员和党员之间，每年谈心谈话一般不少于1次。</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33"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（2）及时掌握了解党员思想动态，善于发现苗头性倾向性问题，“咬耳扯袖”成为常态。每年至少召开1次组织生活会，严肃开展批评和自我批评，认真查摆和解决问题。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95"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（3）党支部一般每学期末向上级党组织报告1次支部工作，每年向支部党员大会报告工作情况。党员一般每年向党支部汇报1次学习、思想和工作情况。党支部一般每年开展1次民主评议党员。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52"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（4）党员组织处置等措施有效运用、稳妥有序。党员退出机制健全，及时稳妥处置不合格党员。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557"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4.组织师生有力（10分）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引领带动师生推动事业发展的动员力、实效性强。</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（1）积极参与本单位重要事项讨论决策，师生思想政治工作针对性和亲和力强，最大限度地把师生组织起来，引领带动师生积极投身学校改革发展、维护学校和谐稳定。</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568"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（2）团结带领广大教职工落实立德树人根本任务，不断提高人才培养质量。支部所在单位的教职工晋升职称（职级）和各类学术奖励申报等事项，党支部对其表现提出意见。</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52"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5.宣传师生有力（15分）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5.1 学习传达上级党组织决策部署及时到位。</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（1）组织开展习近平新时代中国特色社会主义思想学习教育，引领师生听党话、跟党走，把师生思想统一到党中央决策部署上来。</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271"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（2）认真贯彻落实党的路线方针政策，及时学习传达上级党组织的决议，结合本单位实际抓好组织落实。</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58"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（3）巩固马克思主义在高校意识形态领域的指导地位，有效防止各类错误思想文化侵蚀，教育引导师生在课堂教学、论坛讲座等活动中坚持正确的政治立场、政治方向、政治原则、政治道路。</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rPr>
          <w:trHeight w:val="527"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（4）党支部的工作实绩受到群众肯定，工作措施符合群众意愿。所在单位师生对学校改革、发展、稳定等举措的共识度高。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54"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5.2 注重发现、树立、宣传推广师生身边典型人物、典型事迹。</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（1）注重发现挖掘师生身边典型，深入提炼树立具有较大影响力代表性、可学习可复制的典型经验、典型人物、典型事迹。</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30"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（2）充分利用校园内外、线上线下等宣传平台，通过组织宣讲报告、座谈交流、文化文艺活动等形式，广泛宣传典型，充分发挥示范带动作用，形成广大师生学做先进、争当先进的深厚氛围。</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57"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6.凝聚师生有力（10分）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思想引领和价值观塑造有机融入教师教学科研工作和生活中。</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（1）教育引导支部党员、任课教师深入挖掘提炼各门课程中蕴含的思想政治教育元素，发挥“课程思政”育人功能。</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568"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（2）把思想价值引领贯穿支部党员、单位教师论文选题、科研立项、教学改革等工作中，推进师生遵循中国特色学术评价标准和科研评价办法。</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44"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（3）把社会主义核心价值观培育践行贯穿师生专业课实践教学、社会实践活动、创新创业教育、志愿服务、国际交流等过程，增强思想引领和价值观塑造的实效性。</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72"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（4）关心了解师生思想政治状况，及时回应师生重大关切，防止各类错误思想文化侵蚀，建立健全预警机制，积极做好教育引导工作。</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359"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（5）所在单位师生对党支部的满意率高。</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52" w:hRule="atLeast"/>
          <w:jc w:val="center"/>
        </w:trPr>
        <w:tc>
          <w:tcPr>
            <w:tcW w:w="7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7.服务师生有力（10分）</w:t>
            </w:r>
          </w:p>
        </w:tc>
        <w:tc>
          <w:tcPr>
            <w:tcW w:w="2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常态化了解师生困难诉求、倾听师生意见建议，师生有困难找支部、有问题找党员的帮扶机制健全有效。</w:t>
            </w: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（1）坚持以支部党的建设带动所在单位团组织、工会组织建设，常态化做好联系、服务师生工作。每位党员至少联系一名群众。</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rPr>
          <w:trHeight w:val="305"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（2）健全困难师生关心帮扶机制，把解决思想问题和解决实际问题相结合，积极开展服务、帮扶、慰问等活动。</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617" w:hRule="atLeast"/>
          <w:jc w:val="center"/>
        </w:trPr>
        <w:tc>
          <w:tcPr>
            <w:tcW w:w="7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Cs w:val="24"/>
              </w:rPr>
            </w:pPr>
          </w:p>
        </w:tc>
        <w:tc>
          <w:tcPr>
            <w:tcW w:w="1116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（3）搭建交流平台，丰富服务载体，及时了解、听取、回应师生意见和诉求，把党支部建成党员之家、师生之家，增强师生归属感获得感。党支部有固定的交流活动场地和较充足的活动经费。</w:t>
            </w: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color w:val="000000"/>
                <w:kern w:val="0"/>
                <w:szCs w:val="24"/>
              </w:rPr>
            </w:pPr>
          </w:p>
        </w:tc>
        <w:tc>
          <w:tcPr>
            <w:tcW w:w="974" w:type="dxa"/>
            <w:vMerge w:val="continue"/>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Times New Roman" w:hAnsi="Times New Roman" w:eastAsia="宋体" w:cs="Times New Roman"/>
                <w:color w:val="000000"/>
                <w:kern w:val="0"/>
                <w:szCs w:val="24"/>
              </w:rPr>
            </w:pPr>
          </w:p>
        </w:tc>
      </w:tr>
      <w:tr>
        <w:tblPrEx>
          <w:tblCellMar>
            <w:top w:w="0" w:type="dxa"/>
            <w:left w:w="108" w:type="dxa"/>
            <w:bottom w:w="0" w:type="dxa"/>
            <w:right w:w="108" w:type="dxa"/>
          </w:tblCellMar>
        </w:tblPrEx>
        <w:trPr>
          <w:trHeight w:val="405" w:hRule="atLeast"/>
          <w:jc w:val="center"/>
        </w:trPr>
        <w:tc>
          <w:tcPr>
            <w:tcW w:w="143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总  分</w:t>
            </w:r>
          </w:p>
        </w:tc>
        <w:tc>
          <w:tcPr>
            <w:tcW w:w="6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100</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color w:val="000000"/>
                <w:kern w:val="0"/>
                <w:szCs w:val="24"/>
              </w:rPr>
            </w:pPr>
          </w:p>
        </w:tc>
        <w:tc>
          <w:tcPr>
            <w:tcW w:w="974" w:type="dxa"/>
            <w:tcBorders>
              <w:top w:val="single" w:color="auto" w:sz="4" w:space="0"/>
              <w:left w:val="nil"/>
              <w:bottom w:val="single" w:color="auto" w:sz="4" w:space="0"/>
              <w:right w:val="single" w:color="auto" w:sz="4" w:space="0"/>
            </w:tcBorders>
          </w:tcPr>
          <w:p>
            <w:pPr>
              <w:widowControl/>
              <w:spacing w:line="300" w:lineRule="exact"/>
              <w:jc w:val="center"/>
              <w:rPr>
                <w:rFonts w:ascii="Times New Roman" w:hAnsi="Times New Roman" w:eastAsia="宋体" w:cs="Times New Roman"/>
                <w:b/>
                <w:color w:val="000000"/>
                <w:kern w:val="0"/>
                <w:szCs w:val="24"/>
              </w:rPr>
            </w:pPr>
          </w:p>
        </w:tc>
      </w:tr>
    </w:tbl>
    <w:p>
      <w:pPr>
        <w:rPr>
          <w:rFonts w:ascii="Times New Roman" w:hAnsi="Times New Roman" w:cs="Times New Roman"/>
        </w:rPr>
      </w:pPr>
      <w:bookmarkStart w:id="0" w:name="_GoBack"/>
      <w:bookmarkEnd w:id="0"/>
    </w:p>
    <w:sectPr>
      <w:footerReference r:id="rId3" w:type="default"/>
      <w:pgSz w:w="16838" w:h="11906" w:orient="landscape"/>
      <w:pgMar w:top="284" w:right="1361" w:bottom="113" w:left="136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32271"/>
      <w:docPartObj>
        <w:docPartGallery w:val="autotext"/>
      </w:docPartObj>
    </w:sdtPr>
    <w:sdtContent>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77"/>
    <w:rsid w:val="0000765D"/>
    <w:rsid w:val="00015D62"/>
    <w:rsid w:val="000866CE"/>
    <w:rsid w:val="000D1EEC"/>
    <w:rsid w:val="000D35F8"/>
    <w:rsid w:val="00106AE3"/>
    <w:rsid w:val="00137974"/>
    <w:rsid w:val="001861CE"/>
    <w:rsid w:val="001A6046"/>
    <w:rsid w:val="00234EF7"/>
    <w:rsid w:val="00237921"/>
    <w:rsid w:val="002A7833"/>
    <w:rsid w:val="002F16CD"/>
    <w:rsid w:val="002F53C3"/>
    <w:rsid w:val="00302D61"/>
    <w:rsid w:val="00365686"/>
    <w:rsid w:val="003828A1"/>
    <w:rsid w:val="003F4731"/>
    <w:rsid w:val="00425731"/>
    <w:rsid w:val="00447A08"/>
    <w:rsid w:val="00456002"/>
    <w:rsid w:val="0046476F"/>
    <w:rsid w:val="00464D1A"/>
    <w:rsid w:val="00464EA2"/>
    <w:rsid w:val="00465DC8"/>
    <w:rsid w:val="00472A8E"/>
    <w:rsid w:val="004F2335"/>
    <w:rsid w:val="00525F17"/>
    <w:rsid w:val="005652C5"/>
    <w:rsid w:val="00566266"/>
    <w:rsid w:val="00572BEB"/>
    <w:rsid w:val="005776E6"/>
    <w:rsid w:val="005D2B08"/>
    <w:rsid w:val="005D6EA3"/>
    <w:rsid w:val="005E0E80"/>
    <w:rsid w:val="005E52C8"/>
    <w:rsid w:val="00603ABD"/>
    <w:rsid w:val="0065193D"/>
    <w:rsid w:val="006573BB"/>
    <w:rsid w:val="00682575"/>
    <w:rsid w:val="00702DAA"/>
    <w:rsid w:val="0070649E"/>
    <w:rsid w:val="0075432E"/>
    <w:rsid w:val="00762F79"/>
    <w:rsid w:val="0079456C"/>
    <w:rsid w:val="007E7F42"/>
    <w:rsid w:val="00833F13"/>
    <w:rsid w:val="00886284"/>
    <w:rsid w:val="008A00B7"/>
    <w:rsid w:val="008A6FDC"/>
    <w:rsid w:val="008B1552"/>
    <w:rsid w:val="008C07EF"/>
    <w:rsid w:val="008C1163"/>
    <w:rsid w:val="008C3C95"/>
    <w:rsid w:val="008C568B"/>
    <w:rsid w:val="009015C0"/>
    <w:rsid w:val="00913236"/>
    <w:rsid w:val="0091714D"/>
    <w:rsid w:val="009819D4"/>
    <w:rsid w:val="009A2EAC"/>
    <w:rsid w:val="009C110B"/>
    <w:rsid w:val="009C1F3A"/>
    <w:rsid w:val="00A12CDE"/>
    <w:rsid w:val="00A35565"/>
    <w:rsid w:val="00A411DA"/>
    <w:rsid w:val="00A627D2"/>
    <w:rsid w:val="00A668CD"/>
    <w:rsid w:val="00A70B77"/>
    <w:rsid w:val="00AB0495"/>
    <w:rsid w:val="00AD134A"/>
    <w:rsid w:val="00B310E7"/>
    <w:rsid w:val="00B36BAC"/>
    <w:rsid w:val="00B555BB"/>
    <w:rsid w:val="00B657B9"/>
    <w:rsid w:val="00B676B6"/>
    <w:rsid w:val="00C06458"/>
    <w:rsid w:val="00C23EF1"/>
    <w:rsid w:val="00C727AA"/>
    <w:rsid w:val="00D143A3"/>
    <w:rsid w:val="00D45550"/>
    <w:rsid w:val="00D4783A"/>
    <w:rsid w:val="00D8317F"/>
    <w:rsid w:val="00D95DBE"/>
    <w:rsid w:val="00DC6A55"/>
    <w:rsid w:val="00DF1D94"/>
    <w:rsid w:val="00EB4129"/>
    <w:rsid w:val="00ED0452"/>
    <w:rsid w:val="00F20267"/>
    <w:rsid w:val="00F50EC9"/>
    <w:rsid w:val="00F77FF1"/>
    <w:rsid w:val="00F914F8"/>
    <w:rsid w:val="00FD310F"/>
    <w:rsid w:val="00FE68EF"/>
    <w:rsid w:val="00FF0CB8"/>
    <w:rsid w:val="51DF389E"/>
    <w:rsid w:val="787137BF"/>
    <w:rsid w:val="7E47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432</Words>
  <Characters>2469</Characters>
  <Lines>20</Lines>
  <Paragraphs>5</Paragraphs>
  <TotalTime>7</TotalTime>
  <ScaleCrop>false</ScaleCrop>
  <LinksUpToDate>false</LinksUpToDate>
  <CharactersWithSpaces>2896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2021-12-09T06:03:00Z</dcterms:created>
  <dc:creator>zsl6058</dc:creator>
  <cp:lastModifiedBy>高天琪</cp:lastModifiedBy>
  <cp:lastPrinted>2019-12-18T06:54:00Z</cp:lastPrinted>
  <dcterms:modified xsi:type="dcterms:W3CDTF">2021-12-09T06:14:02Z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58E526178A754F339985DAFFB168FC0E</vt:lpwstr>
  </property>
</Properties>
</file>